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2131060</wp:posOffset>
            </wp:positionH>
            <wp:positionV relativeFrom="paragraph">
              <wp:posOffset>377190</wp:posOffset>
            </wp:positionV>
            <wp:extent cx="2880360" cy="677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036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74" w:lineRule="exact"/>
        <w:rPr>
          <w:sz w:val="24"/>
          <w:szCs w:val="24"/>
          <w:color w:val="auto"/>
        </w:rPr>
      </w:pPr>
    </w:p>
    <w:p>
      <w:pPr>
        <w:jc w:val="center"/>
        <w:spacing w:after="0"/>
        <w:rPr>
          <w:sz w:val="20"/>
          <w:szCs w:val="20"/>
          <w:color w:val="auto"/>
        </w:rPr>
      </w:pPr>
      <w:r>
        <w:rPr>
          <w:rFonts w:ascii="Wingdings" w:cs="Wingdings" w:eastAsia="Wingdings" w:hAnsi="Wingdings"/>
          <w:sz w:val="17"/>
          <w:szCs w:val="17"/>
          <w:b w:val="1"/>
          <w:bCs w:val="1"/>
          <w:color w:val="auto"/>
        </w:rPr>
        <w:t xml:space="preserve">x </w:t>
      </w:r>
      <w:r>
        <w:rPr>
          <w:rFonts w:ascii="Times New Roman" w:cs="Times New Roman" w:eastAsia="Times New Roman" w:hAnsi="Times New Roman"/>
          <w:sz w:val="17"/>
          <w:szCs w:val="17"/>
          <w:color w:val="auto"/>
        </w:rPr>
        <w:t>QUARTERLY REPORT PURSUANT TO SECTION 13 OR 15(d) OF THE SECURITIES EXCHANGE ACT OF 1934</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September 30, 2026</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63" w:lineRule="exact"/>
        <w:rPr>
          <w:sz w:val="24"/>
          <w:szCs w:val="24"/>
          <w:color w:val="auto"/>
        </w:rPr>
      </w:pPr>
    </w:p>
    <w:p>
      <w:pPr>
        <w:jc w:val="center"/>
        <w:spacing w:after="0"/>
        <w:rPr>
          <w:sz w:val="20"/>
          <w:szCs w:val="20"/>
          <w:color w:val="auto"/>
        </w:rPr>
      </w:pPr>
      <w:r>
        <w:rPr>
          <w:rFonts w:ascii="Wingdings" w:cs="Wingdings" w:eastAsia="Wingdings" w:hAnsi="Wingdings"/>
          <w:sz w:val="17"/>
          <w:szCs w:val="17"/>
          <w:b w:val="1"/>
          <w:bCs w:val="1"/>
          <w:color w:val="auto"/>
        </w:rPr>
        <w:t xml:space="preserve">o </w:t>
      </w:r>
      <w:r>
        <w:rPr>
          <w:rFonts w:ascii="Times New Roman" w:cs="Times New Roman" w:eastAsia="Times New Roman" w:hAnsi="Times New Roman"/>
          <w:sz w:val="17"/>
          <w:szCs w:val="17"/>
          <w:color w:val="auto"/>
        </w:rPr>
        <w:t>TRANSITION REPORT PURSUANT TO SECTION 13 OR 15(d) OF THE SECURITIES EXCHANGE ACT OF 1934</w:t>
      </w:r>
    </w:p>
    <w:p>
      <w:pPr>
        <w:spacing w:after="0" w:line="39"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color w:val="auto"/>
        </w:rPr>
        <w:t>For the transition period from ________ to ________</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001-40379</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FIVE STAR BANCORP</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9" w:right="339" w:bottom="1440" w:gutter="0" w:footer="0" w:header="0"/>
        </w:sectPr>
      </w:pPr>
    </w:p>
    <w:p>
      <w:pPr>
        <w:spacing w:after="0" w:line="53"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75-3100966</w:t>
      </w:r>
    </w:p>
    <w:p>
      <w:pPr>
        <w:spacing w:after="0" w:line="79" w:lineRule="exact"/>
        <w:rPr>
          <w:sz w:val="24"/>
          <w:szCs w:val="24"/>
          <w:color w:val="auto"/>
        </w:rPr>
      </w:pPr>
    </w:p>
    <w:p>
      <w:pPr>
        <w:sectPr>
          <w:pgSz w:w="11900" w:h="16838" w:orient="portrait"/>
          <w:cols w:equalWidth="0" w:num="2">
            <w:col w:w="7820" w:space="720"/>
            <w:col w:w="2700"/>
          </w:cols>
          <w:pgMar w:left="320" w:top="229" w:right="33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79" w:lineRule="exact"/>
        <w:rPr>
          <w:sz w:val="24"/>
          <w:szCs w:val="24"/>
          <w:color w:val="auto"/>
        </w:rPr>
      </w:pPr>
    </w:p>
    <w:p>
      <w:pPr>
        <w:sectPr>
          <w:pgSz w:w="11900" w:h="16838" w:orient="portrait"/>
          <w:cols w:equalWidth="0" w:num="2">
            <w:col w:w="7020" w:space="720"/>
            <w:col w:w="3500"/>
          </w:cols>
          <w:pgMar w:left="320" w:top="22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3100 Zinfandel Drive, Suite 100 Rancho Cordova, CA 95670</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 (Zip Code)</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u w:val="single" w:color="auto"/>
          <w:color w:val="auto"/>
        </w:rPr>
        <w:t>(916) 626-5000</w:t>
      </w:r>
    </w:p>
    <w:p>
      <w:pPr>
        <w:spacing w:after="0" w:line="79"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229" w:right="339" w:bottom="1440" w:gutter="0" w:footer="0" w:header="0"/>
          <w:type w:val="continuous"/>
        </w:sectPr>
      </w:pPr>
    </w:p>
    <w:p>
      <w:pPr>
        <w:spacing w:after="0" w:line="77"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75" w:lineRule="exact"/>
        <w:rPr>
          <w:sz w:val="24"/>
          <w:szCs w:val="24"/>
          <w:color w:val="auto"/>
        </w:rPr>
      </w:pPr>
    </w:p>
    <w:p>
      <w:pPr>
        <w:sectPr>
          <w:pgSz w:w="11900" w:h="16838" w:orient="portrait"/>
          <w:cols w:equalWidth="0" w:num="3">
            <w:col w:w="4100" w:space="720"/>
            <w:col w:w="2000" w:space="720"/>
            <w:col w:w="3700"/>
          </w:cols>
          <w:pgMar w:left="320" w:top="229" w:right="33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7"/>
          <w:szCs w:val="17"/>
          <w:color w:val="auto"/>
        </w:rPr>
        <w:t>Common stock, no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FSBC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Nasdaq Stock Market LLC</w:t>
      </w:r>
    </w:p>
    <w:p>
      <w:pPr>
        <w:spacing w:after="0" w:line="200" w:lineRule="exact"/>
        <w:rPr>
          <w:sz w:val="24"/>
          <w:szCs w:val="24"/>
          <w:color w:val="auto"/>
        </w:rPr>
      </w:pPr>
    </w:p>
    <w:p>
      <w:pPr>
        <w:sectPr>
          <w:pgSz w:w="11900" w:h="16838" w:orient="portrait"/>
          <w:cols w:equalWidth="0" w:num="3">
            <w:col w:w="4440" w:space="720"/>
            <w:col w:w="2120" w:space="720"/>
            <w:col w:w="3240"/>
          </w:cols>
          <w:pgMar w:left="320" w:top="229" w:right="339" w:bottom="1440" w:gutter="0" w:footer="0" w:header="0"/>
          <w:type w:val="continuous"/>
        </w:sectPr>
      </w:pPr>
    </w:p>
    <w:p>
      <w:pPr>
        <w:spacing w:after="0" w:line="2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w:t>
            </w:r>
          </w:p>
        </w:tc>
        <w:tc>
          <w:tcPr>
            <w:tcW w:w="1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Rule</w:t>
            </w: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12b-2</w:t>
            </w:r>
          </w:p>
        </w:tc>
        <w:tc>
          <w:tcPr>
            <w:tcW w:w="22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of</w:t>
            </w: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w:t>
            </w:r>
          </w:p>
        </w:tc>
        <w:tc>
          <w:tcPr>
            <w:tcW w:w="19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Exchange</w:t>
            </w:r>
          </w:p>
        </w:tc>
        <w:tc>
          <w:tcPr>
            <w:tcW w:w="8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1"/>
              </w:rPr>
              <w:t>Act.</w:t>
            </w:r>
          </w:p>
        </w:tc>
      </w:tr>
      <w:tr>
        <w:trPr>
          <w:trHeight w:val="265"/>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860" w:type="dxa"/>
            <w:vAlign w:val="bottom"/>
          </w:tcPr>
          <w:p>
            <w:pPr>
              <w:spacing w:after="0"/>
              <w:rPr>
                <w:sz w:val="23"/>
                <w:szCs w:val="23"/>
                <w:color w:val="auto"/>
              </w:rPr>
            </w:pPr>
          </w:p>
        </w:tc>
        <w:tc>
          <w:tcPr>
            <w:tcW w:w="1860" w:type="dxa"/>
            <w:vAlign w:val="bottom"/>
          </w:tcPr>
          <w:p>
            <w:pPr>
              <w:ind w:left="1440"/>
              <w:spacing w:after="0"/>
              <w:rPr>
                <w:sz w:val="20"/>
                <w:szCs w:val="20"/>
                <w:color w:val="auto"/>
              </w:rPr>
            </w:pPr>
            <w:r>
              <w:rPr>
                <w:rFonts w:ascii="Wingdings" w:cs="Wingdings" w:eastAsia="Wingdings" w:hAnsi="Wingdings"/>
                <w:sz w:val="18"/>
                <w:szCs w:val="18"/>
                <w:b w:val="1"/>
                <w:bCs w:val="1"/>
                <w:color w:val="auto"/>
              </w:rPr>
              <w:t>o</w:t>
            </w:r>
          </w:p>
        </w:tc>
        <w:tc>
          <w:tcPr>
            <w:tcW w:w="880" w:type="dxa"/>
            <w:vAlign w:val="bottom"/>
          </w:tcPr>
          <w:p>
            <w:pPr>
              <w:spacing w:after="0"/>
              <w:rPr>
                <w:sz w:val="23"/>
                <w:szCs w:val="23"/>
                <w:color w:val="auto"/>
              </w:rPr>
            </w:pP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tcPr>
          <w:p>
            <w:pPr>
              <w:spacing w:after="0"/>
              <w:rPr>
                <w:sz w:val="23"/>
                <w:szCs w:val="23"/>
                <w:color w:val="auto"/>
              </w:rPr>
            </w:pPr>
          </w:p>
        </w:tc>
        <w:tc>
          <w:tcPr>
            <w:tcW w:w="1940" w:type="dxa"/>
            <w:vAlign w:val="bottom"/>
          </w:tcPr>
          <w:p>
            <w:pPr>
              <w:ind w:left="1220"/>
              <w:spacing w:after="0"/>
              <w:rPr>
                <w:sz w:val="20"/>
                <w:szCs w:val="20"/>
                <w:color w:val="auto"/>
              </w:rPr>
            </w:pPr>
            <w:r>
              <w:rPr>
                <w:rFonts w:ascii="Wingdings" w:cs="Wingdings" w:eastAsia="Wingdings" w:hAnsi="Wingdings"/>
                <w:sz w:val="18"/>
                <w:szCs w:val="18"/>
                <w:b w:val="1"/>
                <w:bCs w:val="1"/>
                <w:color w:val="auto"/>
              </w:rPr>
              <w:t>x</w:t>
            </w:r>
          </w:p>
        </w:tc>
        <w:tc>
          <w:tcPr>
            <w:tcW w:w="820" w:type="dxa"/>
            <w:vAlign w:val="bottom"/>
          </w:tcPr>
          <w:p>
            <w:pPr>
              <w:spacing w:after="0"/>
              <w:rPr>
                <w:sz w:val="23"/>
                <w:szCs w:val="23"/>
                <w:color w:val="auto"/>
              </w:rPr>
            </w:pPr>
          </w:p>
        </w:tc>
      </w:tr>
      <w:tr>
        <w:trPr>
          <w:trHeight w:val="270"/>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860" w:type="dxa"/>
            <w:vAlign w:val="bottom"/>
          </w:tcPr>
          <w:p>
            <w:pPr>
              <w:spacing w:after="0"/>
              <w:rPr>
                <w:sz w:val="23"/>
                <w:szCs w:val="23"/>
                <w:color w:val="auto"/>
              </w:rPr>
            </w:pPr>
          </w:p>
        </w:tc>
        <w:tc>
          <w:tcPr>
            <w:tcW w:w="1860" w:type="dxa"/>
            <w:vAlign w:val="bottom"/>
          </w:tcPr>
          <w:p>
            <w:pPr>
              <w:ind w:left="1440"/>
              <w:spacing w:after="0"/>
              <w:rPr>
                <w:sz w:val="20"/>
                <w:szCs w:val="20"/>
                <w:color w:val="auto"/>
              </w:rPr>
            </w:pPr>
            <w:r>
              <w:rPr>
                <w:rFonts w:ascii="Wingdings" w:cs="Wingdings" w:eastAsia="Wingdings" w:hAnsi="Wingdings"/>
                <w:sz w:val="18"/>
                <w:szCs w:val="18"/>
                <w:b w:val="1"/>
                <w:bCs w:val="1"/>
                <w:color w:val="auto"/>
              </w:rPr>
              <w:t>o</w:t>
            </w:r>
          </w:p>
        </w:tc>
        <w:tc>
          <w:tcPr>
            <w:tcW w:w="880" w:type="dxa"/>
            <w:vAlign w:val="bottom"/>
          </w:tcPr>
          <w:p>
            <w:pPr>
              <w:spacing w:after="0"/>
              <w:rPr>
                <w:sz w:val="23"/>
                <w:szCs w:val="23"/>
                <w:color w:val="auto"/>
              </w:rPr>
            </w:pP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spacing w:after="0"/>
              <w:rPr>
                <w:sz w:val="23"/>
                <w:szCs w:val="23"/>
                <w:color w:val="auto"/>
              </w:rPr>
            </w:pPr>
          </w:p>
        </w:tc>
        <w:tc>
          <w:tcPr>
            <w:tcW w:w="1940" w:type="dxa"/>
            <w:vAlign w:val="bottom"/>
          </w:tcPr>
          <w:p>
            <w:pPr>
              <w:ind w:left="1220"/>
              <w:spacing w:after="0"/>
              <w:rPr>
                <w:sz w:val="20"/>
                <w:szCs w:val="20"/>
                <w:color w:val="auto"/>
              </w:rPr>
            </w:pPr>
            <w:r>
              <w:rPr>
                <w:rFonts w:ascii="Wingdings" w:cs="Wingdings" w:eastAsia="Wingdings" w:hAnsi="Wingdings"/>
                <w:sz w:val="18"/>
                <w:szCs w:val="18"/>
                <w:b w:val="1"/>
                <w:bCs w:val="1"/>
                <w:color w:val="auto"/>
              </w:rPr>
              <w:t>o</w:t>
            </w:r>
          </w:p>
        </w:tc>
        <w:tc>
          <w:tcPr>
            <w:tcW w:w="820" w:type="dxa"/>
            <w:vAlign w:val="bottom"/>
          </w:tcPr>
          <w:p>
            <w:pPr>
              <w:spacing w:after="0"/>
              <w:rPr>
                <w:sz w:val="23"/>
                <w:szCs w:val="23"/>
                <w:color w:val="auto"/>
              </w:rPr>
            </w:pPr>
          </w:p>
        </w:tc>
      </w:tr>
      <w:tr>
        <w:trPr>
          <w:trHeight w:val="270"/>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60" w:type="dxa"/>
            <w:vAlign w:val="bottom"/>
          </w:tcPr>
          <w:p>
            <w:pPr>
              <w:ind w:left="1440"/>
              <w:spacing w:after="0"/>
              <w:rPr>
                <w:sz w:val="20"/>
                <w:szCs w:val="20"/>
                <w:color w:val="auto"/>
              </w:rPr>
            </w:pPr>
            <w:r>
              <w:rPr>
                <w:rFonts w:ascii="Wingdings" w:cs="Wingdings" w:eastAsia="Wingdings" w:hAnsi="Wingdings"/>
                <w:sz w:val="18"/>
                <w:szCs w:val="18"/>
                <w:b w:val="1"/>
                <w:bCs w:val="1"/>
                <w:color w:val="auto"/>
              </w:rPr>
              <w:t>x</w:t>
            </w:r>
          </w:p>
        </w:tc>
        <w:tc>
          <w:tcPr>
            <w:tcW w:w="8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820" w:type="dxa"/>
            <w:vAlign w:val="bottom"/>
          </w:tcPr>
          <w:p>
            <w:pPr>
              <w:spacing w:after="0"/>
              <w:rPr>
                <w:sz w:val="23"/>
                <w:szCs w:val="23"/>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30, 2026, there were 24,537,080 shares of the registrant’s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40" w:type="dxa"/>
            <w:vAlign w:val="bottom"/>
            <w:gridSpan w:val="6"/>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920" w:type="dxa"/>
            <w:vAlign w:val="bottom"/>
          </w:tcPr>
          <w:p>
            <w:pPr>
              <w:spacing w:after="0"/>
              <w:rPr>
                <w:sz w:val="20"/>
                <w:szCs w:val="20"/>
                <w:color w:val="auto"/>
              </w:rPr>
            </w:pPr>
          </w:p>
        </w:tc>
      </w:tr>
      <w:tr>
        <w:trPr>
          <w:trHeight w:val="576"/>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gridSpan w:val="9"/>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9"/>
              </w:rPr>
              <w:t>FIVE STAR BANCORP AND SUBSIDIARY</w:t>
            </w:r>
          </w:p>
        </w:tc>
        <w:tc>
          <w:tcPr>
            <w:tcW w:w="19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20" w:type="dxa"/>
            <w:vAlign w:val="bottom"/>
            <w:gridSpan w:val="7"/>
          </w:tcPr>
          <w:p>
            <w:pPr>
              <w:jc w:val="center"/>
              <w:ind w:right="2360"/>
              <w:spacing w:after="0"/>
              <w:rPr>
                <w:sz w:val="20"/>
                <w:szCs w:val="20"/>
                <w:color w:val="auto"/>
              </w:rPr>
            </w:pPr>
            <w:r>
              <w:rPr>
                <w:rFonts w:ascii="Times New Roman" w:cs="Times New Roman" w:eastAsia="Times New Roman" w:hAnsi="Times New Roman"/>
                <w:sz w:val="18"/>
                <w:szCs w:val="18"/>
                <w:color w:val="auto"/>
                <w:w w:val="99"/>
              </w:rPr>
              <w:t>Quarterly Report on Form 10-Q</w:t>
            </w:r>
          </w:p>
        </w:tc>
        <w:tc>
          <w:tcPr>
            <w:tcW w:w="19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40" w:type="dxa"/>
            <w:vAlign w:val="bottom"/>
            <w:gridSpan w:val="6"/>
          </w:tcPr>
          <w:p>
            <w:pPr>
              <w:jc w:val="center"/>
              <w:ind w:right="2660"/>
              <w:spacing w:after="0"/>
              <w:rPr>
                <w:sz w:val="20"/>
                <w:szCs w:val="20"/>
                <w:color w:val="auto"/>
              </w:rPr>
            </w:pPr>
            <w:r>
              <w:rPr>
                <w:rFonts w:ascii="Times New Roman" w:cs="Times New Roman" w:eastAsia="Times New Roman" w:hAnsi="Times New Roman"/>
                <w:sz w:val="18"/>
                <w:szCs w:val="18"/>
                <w:color w:val="auto"/>
                <w:w w:val="99"/>
              </w:rPr>
              <w:t>September 30, 2026</w:t>
            </w:r>
          </w:p>
        </w:tc>
        <w:tc>
          <w:tcPr>
            <w:tcW w:w="1920" w:type="dxa"/>
            <w:vAlign w:val="bottom"/>
          </w:tcPr>
          <w:p>
            <w:pPr>
              <w:spacing w:after="0"/>
              <w:rPr>
                <w:sz w:val="20"/>
                <w:szCs w:val="20"/>
                <w:color w:val="auto"/>
              </w:rPr>
            </w:pPr>
          </w:p>
        </w:tc>
      </w:tr>
      <w:tr>
        <w:trPr>
          <w:trHeight w:val="567"/>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5760" w:type="dxa"/>
            <w:vAlign w:val="bottom"/>
            <w:gridSpan w:val="9"/>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412"/>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3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5780" w:type="dxa"/>
            <w:vAlign w:val="bottom"/>
            <w:gridSpan w:val="10"/>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5800" w:type="dxa"/>
            <w:vAlign w:val="bottom"/>
            <w:gridSpan w:val="11"/>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Income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6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w:t>
            </w:r>
          </w:p>
        </w:tc>
        <w:tc>
          <w:tcPr>
            <w:tcW w:w="180" w:type="dxa"/>
            <w:vAlign w:val="bottom"/>
            <w:tcBorders>
              <w:top w:val="single" w:sz="8" w:color="0000FF"/>
            </w:tcBorders>
          </w:tcPr>
          <w:p>
            <w:pPr>
              <w:spacing w:after="0"/>
              <w:rPr>
                <w:sz w:val="21"/>
                <w:szCs w:val="21"/>
                <w:color w:val="auto"/>
              </w:rPr>
            </w:pPr>
          </w:p>
        </w:tc>
        <w:tc>
          <w:tcPr>
            <w:tcW w:w="4160" w:type="dxa"/>
            <w:vAlign w:val="bottom"/>
            <w:gridSpan w:val="4"/>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0"/>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5020" w:type="dxa"/>
            <w:vAlign w:val="bottom"/>
            <w:gridSpan w:val="7"/>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0"/>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4740" w:type="dxa"/>
            <w:vAlign w:val="bottom"/>
            <w:gridSpan w:val="6"/>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2"/>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7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12"/>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3800" w:type="dxa"/>
            <w:vAlign w:val="bottom"/>
            <w:gridSpan w:val="2"/>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412"/>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r>
      <w:tr>
        <w:trPr>
          <w:trHeight w:val="412"/>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80" w:type="dxa"/>
            <w:vAlign w:val="bottom"/>
            <w:tcBorders>
              <w:top w:val="single" w:sz="8" w:color="0000FF"/>
            </w:tcBorders>
            <w:gridSpan w:val="2"/>
          </w:tcPr>
          <w:p>
            <w:pPr>
              <w:spacing w:after="0"/>
              <w:rPr>
                <w:sz w:val="24"/>
                <w:szCs w:val="24"/>
                <w:color w:val="auto"/>
              </w:rPr>
            </w:pPr>
          </w:p>
        </w:tc>
        <w:tc>
          <w:tcPr>
            <w:tcW w:w="6140" w:type="dxa"/>
            <w:vAlign w:val="bottom"/>
            <w:gridSpan w:val="13"/>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412"/>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412"/>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820" w:type="dxa"/>
            <w:vAlign w:val="bottom"/>
            <w:gridSpan w:val="3"/>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412"/>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840" w:type="dxa"/>
            <w:vAlign w:val="bottom"/>
            <w:gridSpan w:val="12"/>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412"/>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4"/>
                <w:szCs w:val="24"/>
                <w:color w:val="auto"/>
              </w:rPr>
            </w:pPr>
          </w:p>
        </w:tc>
        <w:tc>
          <w:tcPr>
            <w:tcW w:w="6400" w:type="dxa"/>
            <w:vAlign w:val="bottom"/>
            <w:gridSpan w:val="14"/>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412"/>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412"/>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SIGNATURES</w:t>
            </w:r>
          </w:p>
        </w:tc>
        <w:tc>
          <w:tcPr>
            <w:tcW w:w="2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1054"/>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Glossary of Acronyms, Abbreviations, and Terms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identified below are used in various sections of this Form 10-Q, including the section entitled “Management’s Discussion and Analysis of Financial Condition and Results of Operations” in Item 2 and the unaudited Consolidated Financial Statements and Notes to the Financial Statements in Item 1 of this Form 10-Q.</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Annual</w:t>
            </w:r>
          </w:p>
        </w:tc>
        <w:tc>
          <w:tcPr>
            <w:tcW w:w="42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Company’s Annual Report on Form 10-K for the year</w:t>
            </w:r>
          </w:p>
        </w:tc>
        <w:tc>
          <w:tcPr>
            <w:tcW w:w="1200" w:type="dxa"/>
            <w:vAlign w:val="bottom"/>
            <w:shd w:val="clear" w:color="auto" w:fill="CCEEFF"/>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Report on Form</w:t>
            </w:r>
          </w:p>
        </w:tc>
        <w:tc>
          <w:tcPr>
            <w:tcW w:w="4220" w:type="dxa"/>
            <w:vAlign w:val="bottom"/>
            <w:vMerge w:val="continue"/>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ended December 31, 2025</w:t>
            </w:r>
          </w:p>
        </w:tc>
        <w:tc>
          <w:tcPr>
            <w:tcW w:w="1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FNMA</w:t>
            </w:r>
          </w:p>
        </w:tc>
        <w:tc>
          <w:tcPr>
            <w:tcW w:w="4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Federal National Mortgage Association</w:t>
            </w:r>
          </w:p>
        </w:tc>
        <w:tc>
          <w:tcPr>
            <w:tcW w:w="0" w:type="dxa"/>
            <w:vAlign w:val="bottom"/>
          </w:tcPr>
          <w:p>
            <w:pPr>
              <w:spacing w:after="0"/>
              <w:rPr>
                <w:sz w:val="1"/>
                <w:szCs w:val="1"/>
                <w:color w:val="auto"/>
              </w:rPr>
            </w:pPr>
          </w:p>
        </w:tc>
      </w:tr>
      <w:tr>
        <w:trPr>
          <w:trHeight w:val="243"/>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Accounting Standards Codification</w:t>
            </w:r>
          </w:p>
        </w:tc>
        <w:tc>
          <w:tcPr>
            <w:tcW w:w="1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GAAP</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Generally Accepted Accounting Principles in the U.S.</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Accounting Standards Update</w:t>
            </w:r>
          </w:p>
        </w:tc>
        <w:tc>
          <w:tcPr>
            <w:tcW w:w="1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GNMA</w:t>
            </w:r>
          </w:p>
        </w:tc>
        <w:tc>
          <w:tcPr>
            <w:tcW w:w="4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Government National Mortgage Association</w:t>
            </w:r>
          </w:p>
        </w:tc>
        <w:tc>
          <w:tcPr>
            <w:tcW w:w="0" w:type="dxa"/>
            <w:vAlign w:val="bottom"/>
          </w:tcPr>
          <w:p>
            <w:pPr>
              <w:spacing w:after="0"/>
              <w:rPr>
                <w:sz w:val="1"/>
                <w:szCs w:val="1"/>
                <w:color w:val="auto"/>
              </w:rPr>
            </w:pPr>
          </w:p>
        </w:tc>
      </w:tr>
      <w:tr>
        <w:trPr>
          <w:trHeight w:val="243"/>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Bancorp</w:t>
            </w: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Five Star Bancorp and its subsidiary</w:t>
            </w:r>
          </w:p>
        </w:tc>
        <w:tc>
          <w:tcPr>
            <w:tcW w:w="1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GSE</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Government Sponsored Entity</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w:t>
            </w:r>
          </w:p>
        </w:tc>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Five Star Bank</w:t>
            </w:r>
          </w:p>
        </w:tc>
        <w:tc>
          <w:tcPr>
            <w:tcW w:w="1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IPO</w:t>
            </w:r>
          </w:p>
        </w:tc>
        <w:tc>
          <w:tcPr>
            <w:tcW w:w="4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Initial Public Offering</w:t>
            </w: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422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A capital framework and rules for U.S. banking</w:t>
            </w:r>
          </w:p>
        </w:tc>
        <w:tc>
          <w:tcPr>
            <w:tcW w:w="120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Basel III</w:t>
            </w: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organizations</w:t>
            </w:r>
          </w:p>
        </w:tc>
        <w:tc>
          <w:tcPr>
            <w:tcW w:w="1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IRC</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Internal Revenue Code</w:t>
            </w: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spacing w:after="0"/>
              <w:rPr>
                <w:sz w:val="16"/>
                <w:szCs w:val="16"/>
                <w:color w:val="auto"/>
              </w:rPr>
            </w:pPr>
          </w:p>
        </w:tc>
        <w:tc>
          <w:tcPr>
            <w:tcW w:w="4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500" w:type="dxa"/>
            <w:vAlign w:val="bottom"/>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auto"/>
              </w:rPr>
              <w:t>Loan modification made to borrower experiencing</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BOLI</w:t>
            </w:r>
          </w:p>
        </w:tc>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Bank-Owned Life Insurance</w:t>
            </w:r>
          </w:p>
        </w:tc>
        <w:tc>
          <w:tcPr>
            <w:tcW w:w="1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LM</w:t>
            </w:r>
          </w:p>
        </w:tc>
        <w:tc>
          <w:tcPr>
            <w:tcW w:w="4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financial difficulty</w:t>
            </w:r>
          </w:p>
        </w:tc>
        <w:tc>
          <w:tcPr>
            <w:tcW w:w="0" w:type="dxa"/>
            <w:vAlign w:val="bottom"/>
          </w:tcPr>
          <w:p>
            <w:pPr>
              <w:spacing w:after="0"/>
              <w:rPr>
                <w:sz w:val="1"/>
                <w:szCs w:val="1"/>
                <w:color w:val="auto"/>
              </w:rPr>
            </w:pPr>
          </w:p>
        </w:tc>
      </w:tr>
      <w:tr>
        <w:trPr>
          <w:trHeight w:val="243"/>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CECL</w:t>
            </w: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Expected Credit Loss</w:t>
            </w:r>
          </w:p>
        </w:tc>
        <w:tc>
          <w:tcPr>
            <w:tcW w:w="1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NII</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Interest Income</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CME</w:t>
            </w:r>
          </w:p>
        </w:tc>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Chicago Mercantile Exchange</w:t>
            </w:r>
          </w:p>
        </w:tc>
        <w:tc>
          <w:tcPr>
            <w:tcW w:w="1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OCI</w:t>
            </w:r>
          </w:p>
        </w:tc>
        <w:tc>
          <w:tcPr>
            <w:tcW w:w="4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0" w:type="dxa"/>
            <w:vAlign w:val="bottom"/>
          </w:tcPr>
          <w:p>
            <w:pPr>
              <w:spacing w:after="0"/>
              <w:rPr>
                <w:sz w:val="1"/>
                <w:szCs w:val="1"/>
                <w:color w:val="auto"/>
              </w:rPr>
            </w:pPr>
          </w:p>
        </w:tc>
      </w:tr>
      <w:tr>
        <w:trPr>
          <w:trHeight w:val="243"/>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EPS</w:t>
            </w: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Earnings per Share</w:t>
            </w:r>
          </w:p>
        </w:tc>
        <w:tc>
          <w:tcPr>
            <w:tcW w:w="1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PSU</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Performance-based Restricted Stock Unit</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w:t>
            </w:r>
          </w:p>
        </w:tc>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Economic Value of Equity</w:t>
            </w:r>
          </w:p>
        </w:tc>
        <w:tc>
          <w:tcPr>
            <w:tcW w:w="1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RSA</w:t>
            </w:r>
          </w:p>
        </w:tc>
        <w:tc>
          <w:tcPr>
            <w:tcW w:w="4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Restricted Stock Award</w:t>
            </w:r>
          </w:p>
        </w:tc>
        <w:tc>
          <w:tcPr>
            <w:tcW w:w="0" w:type="dxa"/>
            <w:vAlign w:val="bottom"/>
          </w:tcPr>
          <w:p>
            <w:pPr>
              <w:spacing w:after="0"/>
              <w:rPr>
                <w:sz w:val="1"/>
                <w:szCs w:val="1"/>
                <w:color w:val="auto"/>
              </w:rPr>
            </w:pPr>
          </w:p>
        </w:tc>
      </w:tr>
      <w:tr>
        <w:trPr>
          <w:trHeight w:val="243"/>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1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ROAA</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Return on Average Assets, annualized</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FDIC</w:t>
            </w:r>
          </w:p>
        </w:tc>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 Deposit Insurance Corporation</w:t>
            </w:r>
          </w:p>
        </w:tc>
        <w:tc>
          <w:tcPr>
            <w:tcW w:w="1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ROAE</w:t>
            </w:r>
          </w:p>
        </w:tc>
        <w:tc>
          <w:tcPr>
            <w:tcW w:w="4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Return on Average Equity, annualized</w:t>
            </w:r>
          </w:p>
        </w:tc>
        <w:tc>
          <w:tcPr>
            <w:tcW w:w="0" w:type="dxa"/>
            <w:vAlign w:val="bottom"/>
          </w:tcPr>
          <w:p>
            <w:pPr>
              <w:spacing w:after="0"/>
              <w:rPr>
                <w:sz w:val="1"/>
                <w:szCs w:val="1"/>
                <w:color w:val="auto"/>
              </w:rPr>
            </w:pPr>
          </w:p>
        </w:tc>
      </w:tr>
      <w:tr>
        <w:trPr>
          <w:trHeight w:val="243"/>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Reserve</w:t>
            </w: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Board of Governors of the Federal Reserve System</w:t>
            </w:r>
          </w:p>
        </w:tc>
        <w:tc>
          <w:tcPr>
            <w:tcW w:w="1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ROUA</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Right-of-Use Asset</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FFIEC</w:t>
            </w:r>
          </w:p>
        </w:tc>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 Financial Institutions Examination Council</w:t>
            </w:r>
          </w:p>
        </w:tc>
        <w:tc>
          <w:tcPr>
            <w:tcW w:w="1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SBA</w:t>
            </w:r>
          </w:p>
        </w:tc>
        <w:tc>
          <w:tcPr>
            <w:tcW w:w="4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U.S. Small Business Administration</w:t>
            </w:r>
          </w:p>
        </w:tc>
        <w:tc>
          <w:tcPr>
            <w:tcW w:w="0" w:type="dxa"/>
            <w:vAlign w:val="bottom"/>
          </w:tcPr>
          <w:p>
            <w:pPr>
              <w:spacing w:after="0"/>
              <w:rPr>
                <w:sz w:val="1"/>
                <w:szCs w:val="1"/>
                <w:color w:val="auto"/>
              </w:rPr>
            </w:pPr>
          </w:p>
        </w:tc>
      </w:tr>
      <w:tr>
        <w:trPr>
          <w:trHeight w:val="243"/>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FHLB</w:t>
            </w:r>
          </w:p>
        </w:tc>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 Home Loan Bank of San Francisco</w:t>
            </w:r>
          </w:p>
        </w:tc>
        <w:tc>
          <w:tcPr>
            <w:tcW w:w="1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Securities and Exchange Commission</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FHLMC</w:t>
            </w:r>
          </w:p>
        </w:tc>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 Home Loan Mortgage Corporation</w:t>
            </w:r>
          </w:p>
        </w:tc>
        <w:tc>
          <w:tcPr>
            <w:tcW w:w="1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SOFR</w:t>
            </w:r>
          </w:p>
        </w:tc>
        <w:tc>
          <w:tcPr>
            <w:tcW w:w="4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Secured Overnight Financing Rate</w:t>
            </w:r>
          </w:p>
        </w:tc>
        <w:tc>
          <w:tcPr>
            <w:tcW w:w="0" w:type="dxa"/>
            <w:vAlign w:val="bottom"/>
          </w:tcPr>
          <w:p>
            <w:pPr>
              <w:spacing w:after="0"/>
              <w:rPr>
                <w:sz w:val="1"/>
                <w:szCs w:val="1"/>
                <w:color w:val="auto"/>
              </w:rPr>
            </w:pPr>
          </w:p>
        </w:tc>
      </w:tr>
      <w:tr>
        <w:trPr>
          <w:trHeight w:val="1019"/>
        </w:trPr>
        <w:tc>
          <w:tcPr>
            <w:tcW w:w="132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3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13"/>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Cash and due from financial institutions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46,297</w:t>
            </w:r>
          </w:p>
        </w:tc>
        <w:tc>
          <w:tcPr>
            <w:tcW w:w="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33,978</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Interest-bearing deposits in banks</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633,185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472,873</w:t>
            </w:r>
          </w:p>
        </w:tc>
        <w:tc>
          <w:tcPr>
            <w:tcW w:w="0" w:type="dxa"/>
            <w:vAlign w:val="bottom"/>
          </w:tcPr>
          <w:p>
            <w:pPr>
              <w:spacing w:after="0"/>
              <w:rPr>
                <w:sz w:val="1"/>
                <w:szCs w:val="1"/>
                <w:color w:val="auto"/>
              </w:rPr>
            </w:pPr>
          </w:p>
        </w:tc>
      </w:tr>
      <w:tr>
        <w:trPr>
          <w:trHeight w:val="223"/>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679,482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506,851</w:t>
            </w:r>
          </w:p>
        </w:tc>
        <w:tc>
          <w:tcPr>
            <w:tcW w:w="0" w:type="dxa"/>
            <w:vAlign w:val="bottom"/>
          </w:tcPr>
          <w:p>
            <w:pPr>
              <w:spacing w:after="0"/>
              <w:rPr>
                <w:sz w:val="1"/>
                <w:szCs w:val="1"/>
                <w:color w:val="auto"/>
              </w:rPr>
            </w:pPr>
          </w:p>
        </w:tc>
      </w:tr>
      <w:tr>
        <w:trPr>
          <w:trHeight w:val="23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Time deposits in banks</w:t>
            </w:r>
          </w:p>
        </w:tc>
        <w:tc>
          <w:tcPr>
            <w:tcW w:w="18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75"/>
        </w:trPr>
        <w:tc>
          <w:tcPr>
            <w:tcW w:w="73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Securities available-for-sale, at fair value, net of allowance for credit losses of $0 at September 30, 2026 and</w:t>
            </w: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32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December 31, 2025 (amortized cost of $98,975 and $107,197 at September 30, 2026 and December 31,</w:t>
            </w:r>
          </w:p>
        </w:tc>
        <w:tc>
          <w:tcPr>
            <w:tcW w:w="18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82,228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94,699</w:t>
            </w:r>
          </w:p>
        </w:tc>
        <w:tc>
          <w:tcPr>
            <w:tcW w:w="0" w:type="dxa"/>
            <w:vAlign w:val="bottom"/>
          </w:tcPr>
          <w:p>
            <w:pPr>
              <w:spacing w:after="0"/>
              <w:rPr>
                <w:sz w:val="1"/>
                <w:szCs w:val="1"/>
                <w:color w:val="auto"/>
              </w:rPr>
            </w:pPr>
          </w:p>
        </w:tc>
      </w:tr>
      <w:tr>
        <w:trPr>
          <w:trHeight w:val="213"/>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2025, respectively)</w:t>
            </w:r>
          </w:p>
        </w:tc>
        <w:tc>
          <w:tcPr>
            <w:tcW w:w="18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732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Securities held-to-maturity, at amortized cost, net of allowance for credit losses of $20 at September 30, 2026</w:t>
            </w:r>
          </w:p>
        </w:tc>
        <w:tc>
          <w:tcPr>
            <w:tcW w:w="1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CEEFF"/>
          </w:tcPr>
          <w:p>
            <w:pPr>
              <w:ind w:left="160"/>
              <w:spacing w:after="0" w:line="162" w:lineRule="exact"/>
              <w:rPr>
                <w:sz w:val="20"/>
                <w:szCs w:val="20"/>
                <w:color w:val="auto"/>
              </w:rPr>
            </w:pPr>
            <w:r>
              <w:rPr>
                <w:rFonts w:ascii="Times New Roman" w:cs="Times New Roman" w:eastAsia="Times New Roman" w:hAnsi="Times New Roman"/>
                <w:sz w:val="16"/>
                <w:szCs w:val="16"/>
                <w:color w:val="auto"/>
              </w:rPr>
              <w:t>and December 31, 2025 (fair value of $1,698 and $1,995 at September 30, 2026 and December 31, 2025,</w:t>
            </w:r>
          </w:p>
        </w:tc>
        <w:tc>
          <w:tcPr>
            <w:tcW w:w="180" w:type="dxa"/>
            <w:vAlign w:val="bottom"/>
            <w:shd w:val="clear" w:color="auto" w:fill="CCEEFF"/>
          </w:tcPr>
          <w:p>
            <w:pPr>
              <w:spacing w:after="0"/>
              <w:rPr>
                <w:sz w:val="14"/>
                <w:szCs w:val="14"/>
                <w:color w:val="auto"/>
              </w:rPr>
            </w:pPr>
          </w:p>
        </w:tc>
        <w:tc>
          <w:tcPr>
            <w:tcW w:w="1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respectively)</w:t>
            </w:r>
          </w:p>
        </w:tc>
        <w:tc>
          <w:tcPr>
            <w:tcW w:w="180" w:type="dxa"/>
            <w:vAlign w:val="bottom"/>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Loans held for investment</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4,704,215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4,074,929</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(49,390)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(44,409)</w:t>
            </w:r>
          </w:p>
        </w:tc>
        <w:tc>
          <w:tcPr>
            <w:tcW w:w="0" w:type="dxa"/>
            <w:vAlign w:val="bottom"/>
          </w:tcPr>
          <w:p>
            <w:pPr>
              <w:spacing w:after="0"/>
              <w:rPr>
                <w:sz w:val="1"/>
                <w:szCs w:val="1"/>
                <w:color w:val="auto"/>
              </w:rPr>
            </w:pPr>
          </w:p>
        </w:tc>
      </w:tr>
      <w:tr>
        <w:trPr>
          <w:trHeight w:val="223"/>
        </w:trPr>
        <w:tc>
          <w:tcPr>
            <w:tcW w:w="7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Loans held for investment, net of allowance for credit losses</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4,654,825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4,030,520</w:t>
            </w:r>
          </w:p>
        </w:tc>
        <w:tc>
          <w:tcPr>
            <w:tcW w:w="0" w:type="dxa"/>
            <w:vAlign w:val="bottom"/>
          </w:tcPr>
          <w:p>
            <w:pPr>
              <w:spacing w:after="0"/>
              <w:rPr>
                <w:sz w:val="1"/>
                <w:szCs w:val="1"/>
                <w:color w:val="auto"/>
              </w:rPr>
            </w:pPr>
          </w:p>
        </w:tc>
      </w:tr>
      <w:tr>
        <w:trPr>
          <w:trHeight w:val="23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Federal Home Loan Bank of San Francisco (“FHLB”) stock</w:t>
            </w: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0" w:type="dxa"/>
            <w:vAlign w:val="bottom"/>
          </w:tcPr>
          <w:p>
            <w:pPr>
              <w:spacing w:after="0"/>
              <w:rPr>
                <w:sz w:val="1"/>
                <w:szCs w:val="1"/>
                <w:color w:val="auto"/>
              </w:rPr>
            </w:pPr>
          </w:p>
        </w:tc>
      </w:tr>
      <w:tr>
        <w:trPr>
          <w:trHeight w:val="226"/>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leases, right-of-use asset, net</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10,802</w:t>
            </w:r>
          </w:p>
        </w:tc>
        <w:tc>
          <w:tcPr>
            <w:tcW w:w="0" w:type="dxa"/>
            <w:vAlign w:val="bottom"/>
          </w:tcPr>
          <w:p>
            <w:pPr>
              <w:spacing w:after="0"/>
              <w:rPr>
                <w:sz w:val="1"/>
                <w:szCs w:val="1"/>
                <w:color w:val="auto"/>
              </w:rPr>
            </w:pPr>
          </w:p>
        </w:tc>
      </w:tr>
      <w:tr>
        <w:trPr>
          <w:trHeight w:val="23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0" w:type="dxa"/>
            <w:vAlign w:val="bottom"/>
          </w:tcPr>
          <w:p>
            <w:pPr>
              <w:spacing w:after="0"/>
              <w:rPr>
                <w:sz w:val="1"/>
                <w:szCs w:val="1"/>
                <w:color w:val="auto"/>
              </w:rPr>
            </w:pPr>
          </w:p>
        </w:tc>
      </w:tr>
      <w:tr>
        <w:trPr>
          <w:trHeight w:val="227"/>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Bank-owned life insurance, net</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23,910</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receivable and 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83,776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68,680</w:t>
            </w:r>
          </w:p>
        </w:tc>
        <w:tc>
          <w:tcPr>
            <w:tcW w:w="0" w:type="dxa"/>
            <w:vAlign w:val="bottom"/>
          </w:tcPr>
          <w:p>
            <w:pPr>
              <w:spacing w:after="0"/>
              <w:rPr>
                <w:sz w:val="1"/>
                <w:szCs w:val="1"/>
                <w:color w:val="auto"/>
              </w:rPr>
            </w:pPr>
          </w:p>
        </w:tc>
      </w:tr>
      <w:tr>
        <w:trPr>
          <w:trHeight w:val="226"/>
        </w:trPr>
        <w:tc>
          <w:tcPr>
            <w:tcW w:w="73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5,559,618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4,754,861</w:t>
            </w:r>
          </w:p>
        </w:tc>
        <w:tc>
          <w:tcPr>
            <w:tcW w:w="0" w:type="dxa"/>
            <w:vAlign w:val="bottom"/>
          </w:tcPr>
          <w:p>
            <w:pPr>
              <w:spacing w:after="0"/>
              <w:rPr>
                <w:sz w:val="1"/>
                <w:szCs w:val="1"/>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Deposits:</w:t>
            </w: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Non-interest-bearing</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1,210,488</w:t>
            </w:r>
          </w:p>
        </w:tc>
        <w:tc>
          <w:tcPr>
            <w:tcW w:w="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1,084,537</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Interest-bearing</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3,614,040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3,116,547</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Total deposits</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4,824,528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4,201,084</w:t>
            </w:r>
          </w:p>
        </w:tc>
        <w:tc>
          <w:tcPr>
            <w:tcW w:w="0" w:type="dxa"/>
            <w:vAlign w:val="bottom"/>
          </w:tcPr>
          <w:p>
            <w:pPr>
              <w:spacing w:after="0"/>
              <w:rPr>
                <w:sz w:val="1"/>
                <w:szCs w:val="1"/>
                <w:color w:val="auto"/>
              </w:rPr>
            </w:pPr>
          </w:p>
        </w:tc>
      </w:tr>
      <w:tr>
        <w:trPr>
          <w:trHeight w:val="23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Borrowings:</w:t>
            </w: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Subordinated notes, net</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74,041</w:t>
            </w:r>
          </w:p>
        </w:tc>
        <w:tc>
          <w:tcPr>
            <w:tcW w:w="0" w:type="dxa"/>
            <w:vAlign w:val="bottom"/>
          </w:tcPr>
          <w:p>
            <w:pPr>
              <w:spacing w:after="0"/>
              <w:rPr>
                <w:sz w:val="1"/>
                <w:szCs w:val="1"/>
                <w:color w:val="auto"/>
              </w:rPr>
            </w:pPr>
          </w:p>
        </w:tc>
      </w:tr>
      <w:tr>
        <w:trPr>
          <w:trHeight w:val="23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11,872</w:t>
            </w:r>
          </w:p>
        </w:tc>
        <w:tc>
          <w:tcPr>
            <w:tcW w:w="0" w:type="dxa"/>
            <w:vAlign w:val="bottom"/>
          </w:tcPr>
          <w:p>
            <w:pPr>
              <w:spacing w:after="0"/>
              <w:rPr>
                <w:sz w:val="1"/>
                <w:szCs w:val="1"/>
                <w:color w:val="auto"/>
              </w:rPr>
            </w:pPr>
          </w:p>
        </w:tc>
      </w:tr>
      <w:tr>
        <w:trPr>
          <w:trHeight w:val="227"/>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Interest payable and other liabilities</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31,803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22,032</w:t>
            </w:r>
          </w:p>
        </w:tc>
        <w:tc>
          <w:tcPr>
            <w:tcW w:w="0" w:type="dxa"/>
            <w:vAlign w:val="bottom"/>
          </w:tcPr>
          <w:p>
            <w:pPr>
              <w:spacing w:after="0"/>
              <w:rPr>
                <w:sz w:val="1"/>
                <w:szCs w:val="1"/>
                <w:color w:val="auto"/>
              </w:rPr>
            </w:pPr>
          </w:p>
        </w:tc>
      </w:tr>
      <w:tr>
        <w:trPr>
          <w:trHeight w:val="226"/>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4,942,407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4,309,029</w:t>
            </w:r>
          </w:p>
        </w:tc>
        <w:tc>
          <w:tcPr>
            <w:tcW w:w="0" w:type="dxa"/>
            <w:vAlign w:val="bottom"/>
          </w:tcPr>
          <w:p>
            <w:pPr>
              <w:spacing w:after="0"/>
              <w:rPr>
                <w:sz w:val="1"/>
                <w:szCs w:val="1"/>
                <w:color w:val="auto"/>
              </w:rPr>
            </w:pPr>
          </w:p>
        </w:tc>
      </w:tr>
      <w:tr>
        <w:trPr>
          <w:trHeight w:val="227"/>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32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Preferred stock, no par value; 10,000,000 shares authorized; zero issued and outstanding at September 30,</w:t>
            </w:r>
          </w:p>
        </w:tc>
        <w:tc>
          <w:tcPr>
            <w:tcW w:w="180" w:type="dxa"/>
            <w:vAlign w:val="bottom"/>
          </w:tcPr>
          <w:p>
            <w:pPr>
              <w:spacing w:after="0"/>
              <w:rPr>
                <w:sz w:val="15"/>
                <w:szCs w:val="15"/>
                <w:color w:val="auto"/>
              </w:rPr>
            </w:pPr>
          </w:p>
        </w:tc>
        <w:tc>
          <w:tcPr>
            <w:tcW w:w="1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2026 and December 31, 2025</w:t>
            </w:r>
          </w:p>
        </w:tc>
        <w:tc>
          <w:tcPr>
            <w:tcW w:w="180" w:type="dxa"/>
            <w:vAlign w:val="bottom"/>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7320" w:type="dxa"/>
            <w:vAlign w:val="bottom"/>
            <w:shd w:val="clear" w:color="auto" w:fill="CCEEFF"/>
          </w:tcPr>
          <w:p>
            <w:pPr>
              <w:ind w:left="160"/>
              <w:spacing w:after="0" w:line="178" w:lineRule="exact"/>
              <w:rPr>
                <w:sz w:val="20"/>
                <w:szCs w:val="20"/>
                <w:color w:val="auto"/>
              </w:rPr>
            </w:pPr>
            <w:r>
              <w:rPr>
                <w:rFonts w:ascii="Times New Roman" w:cs="Times New Roman" w:eastAsia="Times New Roman" w:hAnsi="Times New Roman"/>
                <w:sz w:val="16"/>
                <w:szCs w:val="16"/>
                <w:color w:val="auto"/>
              </w:rPr>
              <w:t>Common stock, no par value; 100,000,000 shares authorized; 24,536,614 shares issued and outstanding at</w:t>
            </w:r>
          </w:p>
        </w:tc>
        <w:tc>
          <w:tcPr>
            <w:tcW w:w="18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435,511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303,990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September 30, 2026; 21,367,387 shares issued and outstanding at December 31, 2025</w:t>
            </w:r>
          </w:p>
        </w:tc>
        <w:tc>
          <w:tcPr>
            <w:tcW w:w="180" w:type="dxa"/>
            <w:vAlign w:val="bottom"/>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150,985</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loss, net of taxes</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(9,143)</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617,211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445,832</w:t>
            </w:r>
          </w:p>
        </w:tc>
        <w:tc>
          <w:tcPr>
            <w:tcW w:w="0" w:type="dxa"/>
            <w:vAlign w:val="bottom"/>
          </w:tcPr>
          <w:p>
            <w:pPr>
              <w:spacing w:after="0"/>
              <w:rPr>
                <w:sz w:val="1"/>
                <w:szCs w:val="1"/>
                <w:color w:val="auto"/>
              </w:rPr>
            </w:pPr>
          </w:p>
        </w:tc>
      </w:tr>
      <w:tr>
        <w:trPr>
          <w:trHeight w:val="251"/>
        </w:trPr>
        <w:tc>
          <w:tcPr>
            <w:tcW w:w="73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Total liabilities and shareholders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5,559,618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4,754,861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20" w:type="dxa"/>
            <w:vAlign w:val="bottom"/>
          </w:tcPr>
          <w:p>
            <w:pPr>
              <w:spacing w:after="0"/>
              <w:rPr>
                <w:sz w:val="17"/>
                <w:szCs w:val="17"/>
                <w:color w:val="auto"/>
              </w:rPr>
            </w:pPr>
          </w:p>
        </w:tc>
        <w:tc>
          <w:tcPr>
            <w:tcW w:w="2400" w:type="dxa"/>
            <w:vAlign w:val="bottom"/>
            <w:gridSpan w:val="4"/>
          </w:tcPr>
          <w:p>
            <w:pPr>
              <w:jc w:val="center"/>
              <w:ind w:left="43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4"/>
          </w:tcPr>
          <w:p>
            <w:pPr>
              <w:jc w:val="center"/>
              <w:ind w:right="195"/>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6"/>
        </w:trPr>
        <w:tc>
          <w:tcPr>
            <w:tcW w:w="54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ind w:right="275"/>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left="475"/>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60" w:type="dxa"/>
            <w:vAlign w:val="bottom"/>
            <w:tcBorders>
              <w:bottom w:val="single" w:sz="8" w:color="auto"/>
            </w:tcBorders>
          </w:tcPr>
          <w:p>
            <w:pPr>
              <w:spacing w:after="0"/>
              <w:rPr>
                <w:sz w:val="19"/>
                <w:szCs w:val="19"/>
                <w:color w:val="auto"/>
              </w:rPr>
            </w:pPr>
          </w:p>
        </w:tc>
      </w:tr>
      <w:tr>
        <w:trPr>
          <w:trHeight w:val="232"/>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 share amounts)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w w:val="99"/>
              </w:rPr>
              <w:t>2025</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Interest and fee income:</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5"/>
        </w:trPr>
        <w:tc>
          <w:tcPr>
            <w:tcW w:w="54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Loans, including fees</w:t>
            </w: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4"/>
              </w:rPr>
              <w:t>71,392</w:t>
            </w:r>
          </w:p>
        </w:tc>
        <w:tc>
          <w:tcPr>
            <w:tcW w:w="100" w:type="dxa"/>
            <w:vAlign w:val="bottom"/>
          </w:tcPr>
          <w:p>
            <w:pPr>
              <w:spacing w:after="0"/>
              <w:rPr>
                <w:sz w:val="20"/>
                <w:szCs w:val="20"/>
                <w:color w:val="auto"/>
              </w:rPr>
            </w:pP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4"/>
              </w:rPr>
              <w:t>59,257</w:t>
            </w:r>
          </w:p>
        </w:tc>
        <w:tc>
          <w:tcPr>
            <w:tcW w:w="80" w:type="dxa"/>
            <w:vAlign w:val="bottom"/>
          </w:tcPr>
          <w:p>
            <w:pPr>
              <w:spacing w:after="0"/>
              <w:rPr>
                <w:sz w:val="20"/>
                <w:szCs w:val="20"/>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199,073</w:t>
            </w:r>
          </w:p>
        </w:tc>
        <w:tc>
          <w:tcPr>
            <w:tcW w:w="80" w:type="dxa"/>
            <w:vAlign w:val="bottom"/>
          </w:tcPr>
          <w:p>
            <w:pPr>
              <w:spacing w:after="0"/>
              <w:rPr>
                <w:sz w:val="20"/>
                <w:szCs w:val="20"/>
                <w:color w:val="auto"/>
              </w:rPr>
            </w:pPr>
          </w:p>
        </w:tc>
        <w:tc>
          <w:tcPr>
            <w:tcW w:w="50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168,204</w:t>
            </w:r>
          </w:p>
        </w:tc>
      </w:tr>
      <w:tr>
        <w:trPr>
          <w:trHeight w:val="251"/>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Taxable securities</w:t>
            </w: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1,225</w:t>
            </w:r>
          </w:p>
        </w:tc>
      </w:tr>
      <w:tr>
        <w:trPr>
          <w:trHeight w:val="235"/>
        </w:trPr>
        <w:tc>
          <w:tcPr>
            <w:tcW w:w="54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Nontaxable securities</w:t>
            </w: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w:t>
            </w:r>
          </w:p>
        </w:tc>
      </w:tr>
      <w:tr>
        <w:trPr>
          <w:trHeight w:val="251"/>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Interest-bearing deposits in banks</w:t>
            </w:r>
          </w:p>
        </w:tc>
        <w:tc>
          <w:tcPr>
            <w:tcW w:w="8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7,286</w:t>
            </w:r>
          </w:p>
        </w:tc>
        <w:tc>
          <w:tcPr>
            <w:tcW w:w="10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5,009</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18,226</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12,571</w:t>
            </w:r>
          </w:p>
        </w:tc>
      </w:tr>
      <w:tr>
        <w:trPr>
          <w:trHeight w:val="230"/>
        </w:trPr>
        <w:tc>
          <w:tcPr>
            <w:tcW w:w="5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Total interest and fee income</w:t>
            </w:r>
          </w:p>
        </w:tc>
        <w:tc>
          <w:tcPr>
            <w:tcW w:w="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4"/>
              </w:rPr>
              <w:t>79,174</w:t>
            </w: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4"/>
              </w:rPr>
              <w:t>64,845</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218,848</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182,512</w:t>
            </w:r>
          </w:p>
        </w:tc>
      </w:tr>
      <w:tr>
        <w:trPr>
          <w:trHeight w:val="203"/>
        </w:trPr>
        <w:tc>
          <w:tcPr>
            <w:tcW w:w="5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5"/>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Interest expense:</w:t>
            </w: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1"/>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Deposits</w:t>
            </w: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27,087</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24,336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74,898</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69,188</w:t>
            </w:r>
          </w:p>
        </w:tc>
      </w:tr>
      <w:tr>
        <w:trPr>
          <w:trHeight w:val="237"/>
        </w:trPr>
        <w:tc>
          <w:tcPr>
            <w:tcW w:w="5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Subordinated notes</w:t>
            </w:r>
          </w:p>
        </w:tc>
        <w:tc>
          <w:tcPr>
            <w:tcW w:w="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1,161</w:t>
            </w: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1,161</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3,484</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3,484</w:t>
            </w:r>
          </w:p>
        </w:tc>
      </w:tr>
      <w:tr>
        <w:trPr>
          <w:trHeight w:val="237"/>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interest expense</w:t>
            </w:r>
          </w:p>
        </w:tc>
        <w:tc>
          <w:tcPr>
            <w:tcW w:w="8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28,248</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25,497</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78,382</w:t>
            </w:r>
          </w:p>
        </w:tc>
        <w:tc>
          <w:tcPr>
            <w:tcW w:w="8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72,672</w:t>
            </w:r>
          </w:p>
        </w:tc>
      </w:tr>
      <w:tr>
        <w:trPr>
          <w:trHeight w:val="203"/>
        </w:trPr>
        <w:tc>
          <w:tcPr>
            <w:tcW w:w="5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4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income</w:t>
            </w: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50,926</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39,348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140,466</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109,840</w:t>
            </w:r>
          </w:p>
        </w:tc>
      </w:tr>
      <w:tr>
        <w:trPr>
          <w:trHeight w:val="237"/>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7,425</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6,900</w:t>
            </w:r>
          </w:p>
        </w:tc>
      </w:tr>
      <w:tr>
        <w:trPr>
          <w:trHeight w:val="237"/>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income after provision for credit losses</w:t>
            </w:r>
          </w:p>
        </w:tc>
        <w:tc>
          <w:tcPr>
            <w:tcW w:w="8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48,426</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36,848</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133,041</w:t>
            </w:r>
          </w:p>
        </w:tc>
        <w:tc>
          <w:tcPr>
            <w:tcW w:w="8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102,940</w:t>
            </w:r>
          </w:p>
        </w:tc>
      </w:tr>
      <w:tr>
        <w:trPr>
          <w:trHeight w:val="203"/>
        </w:trPr>
        <w:tc>
          <w:tcPr>
            <w:tcW w:w="5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4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Non-interest income:</w:t>
            </w: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5"/>
        </w:trPr>
        <w:tc>
          <w:tcPr>
            <w:tcW w:w="54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w:t>
            </w:r>
          </w:p>
        </w:tc>
      </w:tr>
      <w:tr>
        <w:trPr>
          <w:trHeight w:val="251"/>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Gain on sale of loans</w:t>
            </w:r>
          </w:p>
        </w:tc>
        <w:tc>
          <w:tcPr>
            <w:tcW w:w="8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r>
      <w:tr>
        <w:trPr>
          <w:trHeight w:val="235"/>
        </w:trPr>
        <w:tc>
          <w:tcPr>
            <w:tcW w:w="54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Loan-related fees</w:t>
            </w: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2,416</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1,599</w:t>
            </w:r>
          </w:p>
        </w:tc>
      </w:tr>
      <w:tr>
        <w:trPr>
          <w:trHeight w:val="251"/>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FHLB stock dividends</w:t>
            </w: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1,377</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w:t>
            </w:r>
          </w:p>
        </w:tc>
      </w:tr>
      <w:tr>
        <w:trPr>
          <w:trHeight w:val="235"/>
        </w:trPr>
        <w:tc>
          <w:tcPr>
            <w:tcW w:w="54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Earnings on bank-owned life insurance (“BOLI”)</w:t>
            </w: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w:t>
            </w:r>
          </w:p>
        </w:tc>
      </w:tr>
      <w:tr>
        <w:trPr>
          <w:trHeight w:val="251"/>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8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0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1,121</w:t>
            </w:r>
          </w:p>
        </w:tc>
      </w:tr>
      <w:tr>
        <w:trPr>
          <w:trHeight w:val="230"/>
        </w:trPr>
        <w:tc>
          <w:tcPr>
            <w:tcW w:w="5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Total non-interest income</w:t>
            </w:r>
          </w:p>
        </w:tc>
        <w:tc>
          <w:tcPr>
            <w:tcW w:w="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1,694</w:t>
            </w: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1,966</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5,209</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5,135</w:t>
            </w:r>
          </w:p>
        </w:tc>
      </w:tr>
      <w:tr>
        <w:trPr>
          <w:trHeight w:val="203"/>
        </w:trPr>
        <w:tc>
          <w:tcPr>
            <w:tcW w:w="5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5"/>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Non-interest expense:</w:t>
            </w: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1"/>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Salaries and employee benefits</w:t>
            </w: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12,338</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35,189</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27,760</w:t>
            </w:r>
          </w:p>
        </w:tc>
      </w:tr>
      <w:tr>
        <w:trPr>
          <w:trHeight w:val="235"/>
        </w:trPr>
        <w:tc>
          <w:tcPr>
            <w:tcW w:w="54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Occupancy and equipment</w:t>
            </w: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1,994</w:t>
            </w:r>
          </w:p>
        </w:tc>
      </w:tr>
      <w:tr>
        <w:trPr>
          <w:trHeight w:val="251"/>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Data processing and software</w:t>
            </w: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1,742</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5,002</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4,524</w:t>
            </w:r>
          </w:p>
        </w:tc>
      </w:tr>
      <w:tr>
        <w:trPr>
          <w:trHeight w:val="235"/>
        </w:trPr>
        <w:tc>
          <w:tcPr>
            <w:tcW w:w="54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Federal Deposit Insurance Corporation (“FDIC”) insurance</w:t>
            </w: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1,425</w:t>
            </w:r>
          </w:p>
        </w:tc>
      </w:tr>
      <w:tr>
        <w:trPr>
          <w:trHeight w:val="251"/>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Professional services</w:t>
            </w: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3,208</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2,763</w:t>
            </w:r>
          </w:p>
        </w:tc>
      </w:tr>
      <w:tr>
        <w:trPr>
          <w:trHeight w:val="235"/>
        </w:trPr>
        <w:tc>
          <w:tcPr>
            <w:tcW w:w="54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Advertising and promotional</w:t>
            </w: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2,190</w:t>
            </w:r>
          </w:p>
        </w:tc>
      </w:tr>
      <w:tr>
        <w:trPr>
          <w:trHeight w:val="251"/>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Loan-related expenses</w:t>
            </w: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w:t>
            </w:r>
          </w:p>
        </w:tc>
      </w:tr>
      <w:tr>
        <w:trPr>
          <w:trHeight w:val="237"/>
        </w:trPr>
        <w:tc>
          <w:tcPr>
            <w:tcW w:w="5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operating expenses</w:t>
            </w:r>
          </w:p>
        </w:tc>
        <w:tc>
          <w:tcPr>
            <w:tcW w:w="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2,459</w:t>
            </w: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2,053</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6,394</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5,636</w:t>
            </w:r>
          </w:p>
        </w:tc>
      </w:tr>
      <w:tr>
        <w:trPr>
          <w:trHeight w:val="23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8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20,591</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16,580</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57,601</w:t>
            </w:r>
          </w:p>
        </w:tc>
        <w:tc>
          <w:tcPr>
            <w:tcW w:w="8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47,351</w:t>
            </w:r>
          </w:p>
        </w:tc>
      </w:tr>
      <w:tr>
        <w:trPr>
          <w:trHeight w:val="203"/>
        </w:trPr>
        <w:tc>
          <w:tcPr>
            <w:tcW w:w="5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4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29,529</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22,234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80,649</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60,724</w:t>
            </w:r>
          </w:p>
        </w:tc>
      </w:tr>
      <w:tr>
        <w:trPr>
          <w:trHeight w:val="216"/>
        </w:trPr>
        <w:tc>
          <w:tcPr>
            <w:tcW w:w="5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7,620</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20,720</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16,761</w:t>
            </w: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500" w:type="dxa"/>
            <w:vAlign w:val="bottom"/>
            <w:tcBorders>
              <w:top w:val="single" w:sz="8" w:color="auto"/>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21,909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80" w:type="dxa"/>
            <w:vAlign w:val="bottom"/>
            <w:tcBorders>
              <w:top w:val="single" w:sz="8" w:color="auto"/>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16,344</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6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59,929</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6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43,963</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68"/>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earnings per common share</w:t>
            </w: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0.77</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earnings per common share</w:t>
            </w: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0.92</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0.77</w:t>
            </w:r>
          </w:p>
        </w:tc>
        <w:tc>
          <w:tcPr>
            <w:tcW w:w="80" w:type="dxa"/>
            <w:vAlign w:val="bottom"/>
          </w:tcPr>
          <w:p>
            <w:pPr>
              <w:spacing w:after="0"/>
              <w:rPr>
                <w:sz w:val="18"/>
                <w:szCs w:val="18"/>
                <w:color w:val="auto"/>
              </w:rPr>
            </w:pPr>
          </w:p>
        </w:tc>
        <w:tc>
          <w:tcPr>
            <w:tcW w:w="4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80" w:type="dxa"/>
            <w:vAlign w:val="bottom"/>
          </w:tcPr>
          <w:p>
            <w:pPr>
              <w:spacing w:after="0"/>
              <w:rPr>
                <w:sz w:val="18"/>
                <w:szCs w:val="18"/>
                <w:color w:val="auto"/>
              </w:rPr>
            </w:pPr>
          </w:p>
        </w:tc>
        <w:tc>
          <w:tcPr>
            <w:tcW w:w="4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w:t>
            </w:r>
          </w:p>
        </w:tc>
      </w:tr>
      <w:tr>
        <w:trPr>
          <w:trHeight w:val="20"/>
        </w:trPr>
        <w:tc>
          <w:tcPr>
            <w:tcW w:w="5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00" w:type="dxa"/>
            <w:vAlign w:val="bottom"/>
          </w:tcPr>
          <w:p>
            <w:pPr>
              <w:spacing w:after="0"/>
              <w:rPr>
                <w:sz w:val="17"/>
                <w:szCs w:val="17"/>
                <w:color w:val="auto"/>
              </w:rPr>
            </w:pPr>
          </w:p>
        </w:tc>
        <w:tc>
          <w:tcPr>
            <w:tcW w:w="252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60" w:type="dxa"/>
            <w:vAlign w:val="bottom"/>
            <w:tcBorders>
              <w:bottom w:val="single" w:sz="8" w:color="auto"/>
            </w:tcBorders>
          </w:tcPr>
          <w:p>
            <w:pPr>
              <w:spacing w:after="0"/>
              <w:rPr>
                <w:sz w:val="20"/>
                <w:szCs w:val="20"/>
                <w:color w:val="auto"/>
              </w:rPr>
            </w:pPr>
          </w:p>
        </w:tc>
      </w:tr>
      <w:tr>
        <w:trPr>
          <w:trHeight w:val="241"/>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2025</w:t>
            </w:r>
          </w:p>
        </w:tc>
      </w:tr>
      <w:tr>
        <w:trPr>
          <w:trHeight w:val="237"/>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21,909</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Unrealized (loss) gain on securities:</w:t>
      </w:r>
    </w:p>
    <w:p>
      <w:pPr>
        <w:spacing w:after="0" w:line="36" w:lineRule="exact"/>
        <w:rPr>
          <w:sz w:val="20"/>
          <w:szCs w:val="20"/>
          <w:color w:val="auto"/>
        </w:rPr>
      </w:pPr>
    </w:p>
    <w:p>
      <w:pPr>
        <w:ind w:left="520" w:right="440" w:hanging="161"/>
        <w:spacing w:after="0" w:line="237" w:lineRule="auto"/>
        <w:rPr>
          <w:sz w:val="20"/>
          <w:szCs w:val="20"/>
          <w:color w:val="auto"/>
        </w:rPr>
      </w:pPr>
      <w:r>
        <w:rPr>
          <w:rFonts w:ascii="Times New Roman" w:cs="Times New Roman" w:eastAsia="Times New Roman" w:hAnsi="Times New Roman"/>
          <w:sz w:val="18"/>
          <w:szCs w:val="18"/>
          <w:color w:val="auto"/>
        </w:rPr>
        <w:t>Net unrealized holding (loss) gain on securities available-for-sale during the period</w:t>
      </w:r>
    </w:p>
    <w:p>
      <w:pPr>
        <w:spacing w:after="0" w:line="23" w:lineRule="exact"/>
        <w:rPr>
          <w:sz w:val="20"/>
          <w:szCs w:val="20"/>
          <w:color w:val="auto"/>
        </w:rPr>
      </w:pPr>
    </w:p>
    <w:p>
      <w:pPr>
        <w:ind w:left="300" w:right="1060" w:hanging="161"/>
        <w:spacing w:after="0" w:line="237" w:lineRule="auto"/>
        <w:rPr>
          <w:sz w:val="20"/>
          <w:szCs w:val="20"/>
          <w:color w:val="auto"/>
        </w:rPr>
      </w:pPr>
      <w:r>
        <w:rPr>
          <w:rFonts w:ascii="Times New Roman" w:cs="Times New Roman" w:eastAsia="Times New Roman" w:hAnsi="Times New Roman"/>
          <w:sz w:val="18"/>
          <w:szCs w:val="18"/>
          <w:color w:val="auto"/>
        </w:rPr>
        <w:t>Less: Income tax (benefit) expense related to items of other comprehensive (loss)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5"/>
              </w:rPr>
              <w:t>(4,023)</w:t>
            </w:r>
          </w:p>
        </w:tc>
        <w:tc>
          <w:tcPr>
            <w:tcW w:w="14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2,843</w:t>
            </w: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(4,250)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w:t>
            </w:r>
          </w:p>
        </w:tc>
      </w:tr>
      <w:tr>
        <w:trPr>
          <w:trHeight w:val="432"/>
        </w:trPr>
        <w:tc>
          <w:tcPr>
            <w:tcW w:w="10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5"/>
              </w:rPr>
              <w:t>(1,046)</w:t>
            </w:r>
          </w:p>
        </w:tc>
        <w:tc>
          <w:tcPr>
            <w:tcW w:w="14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763</w:t>
            </w: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(1,001)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-273685</wp:posOffset>
            </wp:positionV>
            <wp:extent cx="7132320" cy="282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22" w:lineRule="exact"/>
        <w:rPr>
          <w:sz w:val="20"/>
          <w:szCs w:val="20"/>
          <w:color w:val="auto"/>
        </w:rPr>
      </w:pPr>
    </w:p>
    <w:p>
      <w:pPr>
        <w:sectPr>
          <w:pgSz w:w="11900" w:h="16838" w:orient="portrait"/>
          <w:cols w:equalWidth="0" w:num="2">
            <w:col w:w="5480" w:space="720"/>
            <w:col w:w="5040"/>
          </w:cols>
          <w:pgMar w:left="320" w:top="1143"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520" w:type="dxa"/>
            <w:vAlign w:val="bottom"/>
          </w:tcPr>
          <w:p>
            <w:pPr>
              <w:spacing w:after="0"/>
              <w:rPr>
                <w:sz w:val="20"/>
                <w:szCs w:val="20"/>
                <w:color w:val="auto"/>
              </w:rPr>
            </w:pP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(2,977)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(3,249)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r>
      <w:tr>
        <w:trPr>
          <w:trHeight w:val="270"/>
        </w:trPr>
        <w:tc>
          <w:tcPr>
            <w:tcW w:w="526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r>
      <w:tr>
        <w:trPr>
          <w:trHeight w:val="23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18,932</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18,424</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56,680</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46,456</w:t>
            </w:r>
          </w:p>
        </w:tc>
      </w:tr>
      <w:tr>
        <w:trPr>
          <w:trHeight w:val="21"/>
        </w:trPr>
        <w:tc>
          <w:tcPr>
            <w:tcW w:w="5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2520" w:type="dxa"/>
            <w:vAlign w:val="bottom"/>
            <w:gridSpan w:val="4"/>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67"/>
        </w:trPr>
        <w:tc>
          <w:tcPr>
            <w:tcW w:w="4020" w:type="dxa"/>
            <w:vAlign w:val="bottom"/>
          </w:tcPr>
          <w:p>
            <w:pPr>
              <w:spacing w:after="0"/>
              <w:rPr>
                <w:sz w:val="14"/>
                <w:szCs w:val="14"/>
                <w:color w:val="auto"/>
              </w:rPr>
            </w:pPr>
          </w:p>
        </w:tc>
        <w:tc>
          <w:tcPr>
            <w:tcW w:w="2520" w:type="dxa"/>
            <w:vAlign w:val="bottom"/>
            <w:tcBorders>
              <w:bottom w:val="single" w:sz="8" w:color="auto"/>
            </w:tcBorders>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ind w:left="80"/>
              <w:spacing w:after="0" w:line="156"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740" w:type="dxa"/>
            <w:vAlign w:val="bottom"/>
            <w:gridSpan w:val="3"/>
          </w:tcPr>
          <w:p>
            <w:pPr>
              <w:ind w:left="60"/>
              <w:spacing w:after="0" w:line="156" w:lineRule="exact"/>
              <w:rPr>
                <w:sz w:val="20"/>
                <w:szCs w:val="20"/>
                <w:color w:val="auto"/>
              </w:rPr>
            </w:pPr>
            <w:r>
              <w:rPr>
                <w:rFonts w:ascii="Times New Roman" w:cs="Times New Roman" w:eastAsia="Times New Roman" w:hAnsi="Times New Roman"/>
                <w:sz w:val="18"/>
                <w:szCs w:val="18"/>
                <w:b w:val="1"/>
                <w:bCs w:val="1"/>
                <w:color w:val="auto"/>
              </w:rPr>
              <w:t>Accumulated Other</w:t>
            </w:r>
          </w:p>
        </w:tc>
        <w:tc>
          <w:tcPr>
            <w:tcW w:w="160" w:type="dxa"/>
            <w:vAlign w:val="bottom"/>
          </w:tcPr>
          <w:p>
            <w:pPr>
              <w:spacing w:after="0"/>
              <w:rPr>
                <w:sz w:val="14"/>
                <w:szCs w:val="14"/>
                <w:color w:val="auto"/>
              </w:rPr>
            </w:pPr>
          </w:p>
        </w:tc>
        <w:tc>
          <w:tcPr>
            <w:tcW w:w="1340" w:type="dxa"/>
            <w:vAlign w:val="bottom"/>
          </w:tcPr>
          <w:p>
            <w:pPr>
              <w:jc w:val="center"/>
              <w:ind w:right="50"/>
              <w:spacing w:after="0" w:line="156" w:lineRule="exact"/>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37"/>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 share amounts)</w:t>
            </w: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6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6"/>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21,360,991</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303,155</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125,545</w:t>
            </w:r>
          </w:p>
        </w:tc>
        <w:tc>
          <w:tcPr>
            <w:tcW w:w="10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(11,958)</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416,742</w:t>
            </w: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issued under stock award plans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forfeitures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paid ($0.20 per share)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0" w:type="dxa"/>
            <w:vAlign w:val="bottom"/>
          </w:tcPr>
          <w:p>
            <w:pPr>
              <w:spacing w:after="0"/>
              <w:rPr>
                <w:sz w:val="1"/>
                <w:szCs w:val="1"/>
                <w:color w:val="auto"/>
              </w:rPr>
            </w:pPr>
          </w:p>
        </w:tc>
      </w:tr>
      <w:tr>
        <w:trPr>
          <w:trHeight w:val="237"/>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21,367,387</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303,571</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137,615</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(9,878)</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431,308</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21,402,864</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178,318</w:t>
            </w:r>
          </w:p>
        </w:tc>
        <w:tc>
          <w:tcPr>
            <w:tcW w:w="100" w:type="dxa"/>
            <w:vAlign w:val="bottom"/>
          </w:tcPr>
          <w:p>
            <w:pPr>
              <w:spacing w:after="0"/>
              <w:rPr>
                <w:sz w:val="21"/>
                <w:szCs w:val="21"/>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(9,415)</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473,771</w:t>
            </w: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21,909</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21,909</w:t>
            </w: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Common stock issued, net of stock issuance costs of</w:t>
            </w: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$7.9 million</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3,133,750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130,021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130,021</w:t>
            </w: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paid ($0.25 per share)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0" w:type="dxa"/>
            <w:vAlign w:val="bottom"/>
          </w:tcPr>
          <w:p>
            <w:pPr>
              <w:spacing w:after="0"/>
              <w:rPr>
                <w:sz w:val="1"/>
                <w:szCs w:val="1"/>
                <w:color w:val="auto"/>
              </w:rPr>
            </w:pPr>
          </w:p>
        </w:tc>
      </w:tr>
      <w:tr>
        <w:trPr>
          <w:trHeight w:val="23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24,536,614</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435,511</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194,092</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(12,392)</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617,211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43"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2540" w:type="dxa"/>
            <w:vAlign w:val="bottom"/>
            <w:gridSpan w:val="4"/>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67"/>
        </w:trPr>
        <w:tc>
          <w:tcPr>
            <w:tcW w:w="4040" w:type="dxa"/>
            <w:vAlign w:val="bottom"/>
          </w:tcPr>
          <w:p>
            <w:pPr>
              <w:spacing w:after="0"/>
              <w:rPr>
                <w:sz w:val="14"/>
                <w:szCs w:val="14"/>
                <w:color w:val="auto"/>
              </w:rPr>
            </w:pPr>
          </w:p>
        </w:tc>
        <w:tc>
          <w:tcPr>
            <w:tcW w:w="2540" w:type="dxa"/>
            <w:vAlign w:val="bottom"/>
            <w:tcBorders>
              <w:bottom w:val="single" w:sz="8" w:color="auto"/>
            </w:tcBorders>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ind w:left="80"/>
              <w:spacing w:after="0" w:line="156"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760" w:type="dxa"/>
            <w:vAlign w:val="bottom"/>
            <w:gridSpan w:val="3"/>
          </w:tcPr>
          <w:p>
            <w:pPr>
              <w:ind w:left="80"/>
              <w:spacing w:after="0" w:line="156" w:lineRule="exact"/>
              <w:rPr>
                <w:sz w:val="20"/>
                <w:szCs w:val="20"/>
                <w:color w:val="auto"/>
              </w:rPr>
            </w:pPr>
            <w:r>
              <w:rPr>
                <w:rFonts w:ascii="Times New Roman" w:cs="Times New Roman" w:eastAsia="Times New Roman" w:hAnsi="Times New Roman"/>
                <w:sz w:val="18"/>
                <w:szCs w:val="18"/>
                <w:b w:val="1"/>
                <w:bCs w:val="1"/>
                <w:color w:val="auto"/>
              </w:rPr>
              <w:t>Accumulated Other</w:t>
            </w:r>
          </w:p>
        </w:tc>
        <w:tc>
          <w:tcPr>
            <w:tcW w:w="160" w:type="dxa"/>
            <w:vAlign w:val="bottom"/>
          </w:tcPr>
          <w:p>
            <w:pPr>
              <w:spacing w:after="0"/>
              <w:rPr>
                <w:sz w:val="14"/>
                <w:szCs w:val="14"/>
                <w:color w:val="auto"/>
              </w:rPr>
            </w:pPr>
          </w:p>
        </w:tc>
        <w:tc>
          <w:tcPr>
            <w:tcW w:w="1340" w:type="dxa"/>
            <w:vAlign w:val="bottom"/>
          </w:tcPr>
          <w:p>
            <w:pPr>
              <w:jc w:val="center"/>
              <w:ind w:right="70"/>
              <w:spacing w:after="0" w:line="156" w:lineRule="exact"/>
              <w:rPr>
                <w:sz w:val="20"/>
                <w:szCs w:val="20"/>
                <w:color w:val="auto"/>
              </w:rPr>
            </w:pPr>
            <w:r>
              <w:rPr>
                <w:rFonts w:ascii="Times New Roman" w:cs="Times New Roman" w:eastAsia="Times New Roman" w:hAnsi="Times New Roman"/>
                <w:sz w:val="18"/>
                <w:szCs w:val="18"/>
                <w:b w:val="1"/>
                <w:bCs w:val="1"/>
                <w:color w:val="auto"/>
                <w:w w:val="98"/>
              </w:rPr>
              <w:t>Shareholders’</w:t>
            </w: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 share amounts)</w:t>
            </w: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6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6"/>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21,319,083</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302,531</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106,464</w:t>
            </w:r>
          </w:p>
        </w:tc>
        <w:tc>
          <w:tcPr>
            <w:tcW w:w="8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(12,371)</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396,624</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43,963</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43,963</w:t>
            </w: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issued under stock award plans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forfeitures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paid ($0.60 per share)</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(12,812)</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(12,812)</w:t>
            </w: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21,367,387</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303,571</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137,615</w:t>
            </w:r>
          </w:p>
        </w:tc>
        <w:tc>
          <w:tcPr>
            <w:tcW w:w="80" w:type="dxa"/>
            <w:vAlign w:val="bottom"/>
          </w:tcPr>
          <w:p>
            <w:pPr>
              <w:spacing w:after="0"/>
              <w:rPr>
                <w:sz w:val="20"/>
                <w:szCs w:val="20"/>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(9,878)</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431,308</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21,367,387</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150,985</w:t>
            </w:r>
          </w:p>
        </w:tc>
        <w:tc>
          <w:tcPr>
            <w:tcW w:w="80" w:type="dxa"/>
            <w:vAlign w:val="bottom"/>
          </w:tcPr>
          <w:p>
            <w:pPr>
              <w:spacing w:after="0"/>
              <w:rPr>
                <w:sz w:val="21"/>
                <w:szCs w:val="21"/>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445,832</w:t>
            </w: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59,929</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59,929</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0" w:type="dxa"/>
            <w:vAlign w:val="bottom"/>
          </w:tcPr>
          <w:p>
            <w:pPr>
              <w:spacing w:after="0"/>
              <w:rPr>
                <w:sz w:val="1"/>
                <w:szCs w:val="1"/>
                <w:color w:val="auto"/>
              </w:rPr>
            </w:pPr>
          </w:p>
        </w:tc>
      </w:tr>
      <w:tr>
        <w:trPr>
          <w:trHeight w:val="189"/>
        </w:trPr>
        <w:tc>
          <w:tcPr>
            <w:tcW w:w="40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Common stock issued, net of stock issuance costs of</w:t>
            </w: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$7.9 million</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3,133,750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130,021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130,021</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issued under stock award plans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paid ($0.75 per share)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(16,822)</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(16,822)</w:t>
            </w:r>
          </w:p>
        </w:tc>
        <w:tc>
          <w:tcPr>
            <w:tcW w:w="0" w:type="dxa"/>
            <w:vAlign w:val="bottom"/>
          </w:tcPr>
          <w:p>
            <w:pPr>
              <w:spacing w:after="0"/>
              <w:rPr>
                <w:sz w:val="1"/>
                <w:szCs w:val="1"/>
                <w:color w:val="auto"/>
              </w:rPr>
            </w:pPr>
          </w:p>
        </w:tc>
      </w:tr>
      <w:tr>
        <w:trPr>
          <w:trHeight w:val="261"/>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24,536,614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435,511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194,092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(12,392)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617,211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37"/>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5"/>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59,929</w:t>
            </w:r>
          </w:p>
        </w:tc>
        <w:tc>
          <w:tcPr>
            <w:tcW w:w="80" w:type="dxa"/>
            <w:vAlign w:val="bottom"/>
          </w:tcPr>
          <w:p>
            <w:pPr>
              <w:spacing w:after="0"/>
              <w:rPr>
                <w:sz w:val="20"/>
                <w:szCs w:val="20"/>
                <w:color w:val="auto"/>
              </w:rPr>
            </w:pP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43,963</w:t>
            </w:r>
          </w:p>
        </w:tc>
      </w:tr>
      <w:tr>
        <w:trPr>
          <w:trHeight w:val="251"/>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5"/>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6,900</w:t>
            </w:r>
          </w:p>
        </w:tc>
      </w:tr>
      <w:tr>
        <w:trPr>
          <w:trHeight w:val="251"/>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1,757</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35"/>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Amortization of deferred loan fees and costs</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w:t>
            </w:r>
          </w:p>
        </w:tc>
      </w:tr>
      <w:tr>
        <w:trPr>
          <w:trHeight w:val="251"/>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Amortization of premiums and discounts on securities</w:t>
            </w:r>
          </w:p>
        </w:tc>
        <w:tc>
          <w:tcPr>
            <w:tcW w:w="3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w:t>
            </w:r>
          </w:p>
        </w:tc>
      </w:tr>
      <w:tr>
        <w:trPr>
          <w:trHeight w:val="235"/>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Amortization of subordinated note issuance costs</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51"/>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Amortization of low income housing tax credits</w:t>
            </w:r>
          </w:p>
        </w:tc>
        <w:tc>
          <w:tcPr>
            <w:tcW w:w="3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w:t>
            </w:r>
          </w:p>
        </w:tc>
      </w:tr>
      <w:tr>
        <w:trPr>
          <w:trHeight w:val="235"/>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Stock compensation expense</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1,040</w:t>
            </w:r>
          </w:p>
        </w:tc>
      </w:tr>
      <w:tr>
        <w:trPr>
          <w:trHeight w:val="251"/>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Earnings on BOLI</w:t>
            </w:r>
          </w:p>
        </w:tc>
        <w:tc>
          <w:tcPr>
            <w:tcW w:w="3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w:t>
            </w:r>
          </w:p>
        </w:tc>
      </w:tr>
      <w:tr>
        <w:trPr>
          <w:trHeight w:val="235"/>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Deferred tax provision</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w:t>
            </w:r>
          </w:p>
        </w:tc>
      </w:tr>
      <w:tr>
        <w:trPr>
          <w:trHeight w:val="251"/>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Purchase of transferable tax credits</w:t>
            </w:r>
          </w:p>
        </w:tc>
        <w:tc>
          <w:tcPr>
            <w:tcW w:w="3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(5,258)</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Loans originated for sale</w:t>
            </w:r>
          </w:p>
        </w:tc>
        <w:tc>
          <w:tcPr>
            <w:tcW w:w="30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(1,384)</w:t>
            </w:r>
          </w:p>
        </w:tc>
      </w:tr>
      <w:tr>
        <w:trPr>
          <w:trHeight w:val="251"/>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Gain on sale of loans</w:t>
            </w:r>
          </w:p>
        </w:tc>
        <w:tc>
          <w:tcPr>
            <w:tcW w:w="3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r>
      <w:tr>
        <w:trPr>
          <w:trHeight w:val="235"/>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Gross proceeds from sale of loans</w:t>
            </w:r>
          </w:p>
        </w:tc>
        <w:tc>
          <w:tcPr>
            <w:tcW w:w="30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3,531</w:t>
            </w:r>
          </w:p>
        </w:tc>
      </w:tr>
      <w:tr>
        <w:trPr>
          <w:trHeight w:val="251"/>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Earnings on equity investments</w:t>
            </w:r>
          </w:p>
        </w:tc>
        <w:tc>
          <w:tcPr>
            <w:tcW w:w="3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w:t>
            </w:r>
          </w:p>
        </w:tc>
      </w:tr>
      <w:tr>
        <w:trPr>
          <w:trHeight w:val="235"/>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Net changes in:</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1"/>
        </w:trPr>
        <w:tc>
          <w:tcPr>
            <w:tcW w:w="7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Interest receivable and other assets</w:t>
            </w:r>
          </w:p>
        </w:tc>
        <w:tc>
          <w:tcPr>
            <w:tcW w:w="3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(1,647)</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(3,982)</w:t>
            </w:r>
          </w:p>
        </w:tc>
      </w:tr>
      <w:tr>
        <w:trPr>
          <w:trHeight w:val="235"/>
        </w:trPr>
        <w:tc>
          <w:tcPr>
            <w:tcW w:w="77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Interest payable and other liabilities</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44"/>
        </w:trPr>
        <w:tc>
          <w:tcPr>
            <w:tcW w:w="7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Operating lease liability</w:t>
            </w:r>
          </w:p>
        </w:tc>
        <w:tc>
          <w:tcPr>
            <w:tcW w:w="3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69,203</w:t>
            </w:r>
          </w:p>
        </w:tc>
        <w:tc>
          <w:tcPr>
            <w:tcW w:w="8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52,055</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5"/>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Maturities, prepayments, and calls of securities available-for-sale</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7,910</w:t>
            </w:r>
          </w:p>
        </w:tc>
        <w:tc>
          <w:tcPr>
            <w:tcW w:w="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7,574</w:t>
            </w:r>
          </w:p>
        </w:tc>
      </w:tr>
      <w:tr>
        <w:trPr>
          <w:trHeight w:val="251"/>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Purchases of securities available-for-sale</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w:t>
            </w:r>
          </w:p>
        </w:tc>
      </w:tr>
      <w:tr>
        <w:trPr>
          <w:trHeight w:val="235"/>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 call for equity investments</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(3,835)</w:t>
            </w:r>
          </w:p>
        </w:tc>
        <w:tc>
          <w:tcPr>
            <w:tcW w:w="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(1,638)</w:t>
            </w:r>
          </w:p>
        </w:tc>
      </w:tr>
      <w:tr>
        <w:trPr>
          <w:trHeight w:val="251"/>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received from equity investments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r>
      <w:tr>
        <w:trPr>
          <w:trHeight w:val="235"/>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 call for low income housing tax credits</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(5,381)</w:t>
            </w:r>
          </w:p>
        </w:tc>
      </w:tr>
      <w:tr>
        <w:trPr>
          <w:trHeight w:val="251"/>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change in time deposits in banks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4,021</w:t>
            </w:r>
          </w:p>
        </w:tc>
      </w:tr>
      <w:tr>
        <w:trPr>
          <w:trHeight w:val="235"/>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 originations, net of repayments</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(631,642)</w:t>
            </w:r>
          </w:p>
        </w:tc>
        <w:tc>
          <w:tcPr>
            <w:tcW w:w="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(356,230)</w:t>
            </w:r>
          </w:p>
        </w:tc>
      </w:tr>
      <w:tr>
        <w:trPr>
          <w:trHeight w:val="251"/>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 of premises and equipment, net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w:t>
            </w:r>
          </w:p>
        </w:tc>
      </w:tr>
      <w:tr>
        <w:trPr>
          <w:trHeight w:val="235"/>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 of BOLI</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(4,359)</w:t>
            </w:r>
          </w:p>
        </w:tc>
        <w:tc>
          <w:tcPr>
            <w:tcW w:w="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(3,710)</w:t>
            </w:r>
          </w:p>
        </w:tc>
      </w:tr>
      <w:tr>
        <w:trPr>
          <w:trHeight w:val="244"/>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real estate sale proceeds</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(633,215)</w:t>
            </w:r>
          </w:p>
        </w:tc>
        <w:tc>
          <w:tcPr>
            <w:tcW w:w="8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(356,583)</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5"/>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change in deposits</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623,444</w:t>
            </w:r>
          </w:p>
        </w:tc>
        <w:tc>
          <w:tcPr>
            <w:tcW w:w="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545,444</w:t>
            </w:r>
          </w:p>
        </w:tc>
      </w:tr>
      <w:tr>
        <w:trPr>
          <w:trHeight w:val="251"/>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issuance of stock, net of issuance costs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130,021</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dividends paid</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(16,822)</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(12,812)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72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60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736,643</w:t>
            </w:r>
          </w:p>
        </w:tc>
        <w:tc>
          <w:tcPr>
            <w:tcW w:w="8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532,632</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change in cash and cash equivalents</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172,631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228,104</w:t>
            </w:r>
          </w:p>
        </w:tc>
      </w:tr>
      <w:tr>
        <w:trPr>
          <w:trHeight w:val="244"/>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6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506,851</w:t>
            </w:r>
          </w:p>
        </w:tc>
        <w:tc>
          <w:tcPr>
            <w:tcW w:w="8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352,343</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at end of period</w:t>
            </w:r>
          </w:p>
        </w:tc>
        <w:tc>
          <w:tcPr>
            <w:tcW w:w="6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679,482</w:t>
            </w:r>
          </w:p>
        </w:tc>
        <w:tc>
          <w:tcPr>
            <w:tcW w:w="80" w:type="dxa"/>
            <w:vAlign w:val="bottom"/>
          </w:tcPr>
          <w:p>
            <w:pPr>
              <w:spacing w:after="0"/>
              <w:rPr>
                <w:sz w:val="21"/>
                <w:szCs w:val="21"/>
                <w:color w:val="auto"/>
              </w:rPr>
            </w:pPr>
          </w:p>
        </w:tc>
        <w:tc>
          <w:tcPr>
            <w:tcW w:w="6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580,447</w:t>
            </w:r>
          </w:p>
        </w:tc>
      </w:tr>
      <w:tr>
        <w:trPr>
          <w:trHeight w:val="21"/>
        </w:trPr>
        <w:tc>
          <w:tcPr>
            <w:tcW w:w="7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5"/>
        </w:trPr>
        <w:tc>
          <w:tcPr>
            <w:tcW w:w="7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37"/>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5"/>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paid</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79,974</w:t>
            </w:r>
          </w:p>
        </w:tc>
        <w:tc>
          <w:tcPr>
            <w:tcW w:w="80" w:type="dxa"/>
            <w:vAlign w:val="bottom"/>
          </w:tcPr>
          <w:p>
            <w:pPr>
              <w:spacing w:after="0"/>
              <w:rPr>
                <w:sz w:val="20"/>
                <w:szCs w:val="20"/>
                <w:color w:val="auto"/>
              </w:rPr>
            </w:pP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71,925</w:t>
            </w:r>
          </w:p>
        </w:tc>
      </w:tr>
      <w:tr>
        <w:trPr>
          <w:trHeight w:val="251"/>
        </w:trPr>
        <w:tc>
          <w:tcPr>
            <w:tcW w:w="7720" w:type="dxa"/>
            <w:vAlign w:val="bottom"/>
            <w:shd w:val="clear" w:color="auto" w:fill="CCEEFF"/>
          </w:tcPr>
          <w:p>
            <w:pPr>
              <w:ind w:left="180"/>
              <w:spacing w:after="0" w:line="250" w:lineRule="exact"/>
              <w:rPr>
                <w:sz w:val="20"/>
                <w:szCs w:val="20"/>
                <w:color w:val="auto"/>
              </w:rPr>
            </w:pPr>
            <w:r>
              <w:rPr>
                <w:rFonts w:ascii="Times New Roman" w:cs="Times New Roman" w:eastAsia="Times New Roman" w:hAnsi="Times New Roman"/>
                <w:sz w:val="17"/>
                <w:szCs w:val="17"/>
                <w:color w:val="auto"/>
              </w:rPr>
              <w:t>Income taxes paid:</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49"/>
        </w:trPr>
        <w:tc>
          <w:tcPr>
            <w:tcW w:w="77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US Federal</w:t>
            </w:r>
          </w:p>
        </w:tc>
        <w:tc>
          <w:tcPr>
            <w:tcW w:w="30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4"/>
        </w:trPr>
        <w:tc>
          <w:tcPr>
            <w:tcW w:w="7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US Federal - IRC 45X Tax Credits</w:t>
            </w:r>
            <w:r>
              <w:rPr>
                <w:rFonts w:ascii="Times New Roman" w:cs="Times New Roman" w:eastAsia="Times New Roman" w:hAnsi="Times New Roman"/>
                <w:sz w:val="22"/>
                <w:szCs w:val="22"/>
                <w:color w:val="auto"/>
                <w:vertAlign w:val="superscript"/>
              </w:rPr>
              <w:t>2</w:t>
            </w:r>
          </w:p>
        </w:tc>
        <w:tc>
          <w:tcPr>
            <w:tcW w:w="3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5,258</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49"/>
        </w:trPr>
        <w:tc>
          <w:tcPr>
            <w:tcW w:w="77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US State and Local</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4"/>
        </w:trPr>
        <w:tc>
          <w:tcPr>
            <w:tcW w:w="77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California</w:t>
            </w:r>
          </w:p>
        </w:tc>
        <w:tc>
          <w:tcPr>
            <w:tcW w:w="3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7,050</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50"/>
        </w:trPr>
        <w:tc>
          <w:tcPr>
            <w:tcW w:w="772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7"/>
                <w:szCs w:val="17"/>
                <w:color w:val="auto"/>
              </w:rPr>
              <w:t>Other states</w:t>
            </w: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1,703</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r>
      <w:tr>
        <w:trPr>
          <w:trHeight w:val="243"/>
        </w:trPr>
        <w:tc>
          <w:tcPr>
            <w:tcW w:w="77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18,011</w:t>
            </w:r>
          </w:p>
        </w:tc>
      </w:tr>
      <w:tr>
        <w:trPr>
          <w:trHeight w:val="235"/>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items:</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1"/>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Transfer from loans held for sale to loans held for investment</w:t>
            </w:r>
          </w:p>
        </w:tc>
        <w:tc>
          <w:tcPr>
            <w:tcW w:w="3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w:t>
            </w:r>
          </w:p>
        </w:tc>
      </w:tr>
      <w:tr>
        <w:trPr>
          <w:trHeight w:val="235"/>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Unrealized (loss) gain on securities</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4,063</w:t>
            </w:r>
          </w:p>
        </w:tc>
      </w:tr>
      <w:tr>
        <w:trPr>
          <w:trHeight w:val="251"/>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Operating lease liabilities exchanged for ROUA</w:t>
            </w:r>
          </w:p>
        </w:tc>
        <w:tc>
          <w:tcPr>
            <w:tcW w:w="3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2,970</w:t>
            </w:r>
          </w:p>
        </w:tc>
      </w:tr>
      <w:tr>
        <w:trPr>
          <w:trHeight w:val="235"/>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ROUA acquired</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(2,970)</w:t>
            </w:r>
          </w:p>
        </w:tc>
      </w:tr>
      <w:tr>
        <w:trPr>
          <w:trHeight w:val="251"/>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commitment for low income housing tax credits</w:t>
            </w:r>
          </w:p>
        </w:tc>
        <w:tc>
          <w:tcPr>
            <w:tcW w:w="3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2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Income taxes are presented by significant jurisdictions beginning in 2026 as required by ASU No. 2023-09, </w:t>
      </w:r>
      <w:r>
        <w:rPr>
          <w:rFonts w:ascii="Times New Roman" w:cs="Times New Roman" w:eastAsia="Times New Roman" w:hAnsi="Times New Roman"/>
          <w:sz w:val="18"/>
          <w:szCs w:val="18"/>
          <w:i w:val="1"/>
          <w:iCs w:val="1"/>
          <w:color w:val="auto"/>
        </w:rPr>
        <w:t>Income Taxes (Topic 740) -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Tax Disclosures </w:t>
      </w:r>
      <w:r>
        <w:rPr>
          <w:rFonts w:ascii="Times New Roman" w:cs="Times New Roman" w:eastAsia="Times New Roman" w:hAnsi="Times New Roman"/>
          <w:sz w:val="18"/>
          <w:szCs w:val="18"/>
          <w:color w:val="auto"/>
        </w:rPr>
        <w:t>(“ASU 2023-09”). This standard has been applied on a prospective basis.</w:t>
      </w:r>
    </w:p>
    <w:p>
      <w:pPr>
        <w:spacing w:after="0" w:line="19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These credits were acquired from a third-party seller in lieu of a direct payment to the US federal taxing authority and are treated as a tax payment for federal income tax purposes. The cash outflow associated with the purchase of these transferable tax credits is also reflected as a reduction within operating activities in the Consolidated Statements of Cash Flows.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Organization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Five Star Bank (the “Bank”) was chartered on October 26, 1999 and began operations on December 20, 1999. Five Star Bancorp (“Bancorp” or the “Company”) was incorporated on September 16, 2002 and subsequently obtained approval from the Board of Governors of the Federal Reserve System (the “Federal Reserve”) to become a bank holding company in connection with its acquisition of the Bank. The Company became the sole shareholder of the Bank on June 2, 2003 in a statutory merger, pursuant to which each outstanding share of the Bank’s common stock was exchanged for one share of common stock of the Company.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the Bank, provides a broad range of banking products and services to customers who are predominantly small and medium-sized businesses, professionals, and individuals residing in California. The Company’s primary loan products are commercial real estate loans, land development loans, construction loans, and operating lines of credit, and its primary deposit products are checking accounts, savings accounts, money market accounts, and term certificate accounts. The Bank currently has ten branch offices in Chico, Elk Grove, Lodi, Natomas, Rancho Cordova, Redding, Roseville, San Francisco, Walnut Creek, and Yuba City.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Basis of Financial Statement Presentation and Consolidation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of America (“GAAP”) as contained within the Financial Accounting Standards Board’s (“FASB’s”) Accounting Standards Codification (“ASC”), including Accounting Standards Updates (“ASUs”), and the rules and regulations of the Securities and Exchange Commission (the “SEC”), including the instructions to Regulation S-X.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 a basis consistent with, and should be read in conjunction with, the audited consolidated financial statements as of and for the year ended December 31, 2025, and the notes thereto, included in the Company’s Annual Report on Form 10-K (the “2025 Annual Report on Form 10-K”), which was filed with the SEC on February 27, 2026.</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consolidated financial statements include Bancorp and its wholly owned subsidiary, the Bank. All significant intercompany transactions and balances are eliminated in consolidation.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three and nine months ended September 30, 2026 are not necessarily indicative of the results of operations that may be expected for any other interim period or for the year ending December 31,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accounting and reporting policies conform to GAAP and to general practices within the banking industry.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 Segments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one reportable operating segment: banking. The banking segment derives its revenues through the Bank, which provides a broad range of banking products and services to customers who are predominantly small and middle-market businesses, professionals, and individuals primarily in California. The Company manages the business activities on a consolidated basis.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is its Chief Executive Officer, who reviews financial information presented on a consolidated basis. The CODM assesses performance for the operating segment and decides how to allocate resources based on net income that also is reported on the income statement as consolidated net income. The measure of segment assets is reported on the balance sheet as total consolidated assets.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financial metrics are used by the CODM to make key operating decisions, such as determination of the rate at which the Company seeks to grow, loan and deposit pricing, and the allocation of budget for non-interest expenses. Net income is used to monitor budget versus actual results. Discrete financial information is not available other than on a Company-wide basis.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(d) Emerging Growth Company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qualifies as an emerging growth company as defined in the Jumpstart Our Business Startups Act of 2012 (the “JOBS Act”), and, as such, may take advantage of specified reduced reporting requirements and deferred adoption dates for accounting standards, and is relieved of other significant requirements that are otherwise generally applicable to other public companies. The Company will remain an emerging growth company until the last day of the fiscal year following the fifth anniversary of its initial public offering (“IPO”) date of May 5, 2021, or December 31, 2026, unless one of the following occurs: (i) total annual gross revenues are $1.235 billion or more; (ii) the Company issues more than $1.0 billion in non-convertible debt; or (iii) the Company becomes a large accelerated filer with a public float of more than $0.7 billion, as measured at June 30 annually.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 Significant Accounting Policies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included in Note 1, Basis of Presentation in the notes to our audited consolidated financial statements included in the 2025 Annual Report on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 Recently Issued Accounting Standards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information reflects recent accounting standards that have been adopted or are pending adoption by the Company. The Company qualifies as an emerging growth company and, as such, has elected not to opt out of the extended transition period for complying with new or revised accounting standards and is not subject to the new or revised accounting standards applicable to public companies during the extended transition period. However, we may early adopt certain accounting standards, as the JOBS Act does not preclude an emerging growth company from adopting a new or revised accounting standard earlier than the time that such standard applies to private companies to the extent early adoption is permitted. Our early adoption of ASU 2023-09 was voluntary and does not represent an irrevocable election to opt out of the extended transition period for all standards. The accounting standards discussed below indicate effective dates for the Company as an emerging growth company using the extended transition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 in 2026</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which enhances the transparency and decision usefulness of income tax disclosures. ASU 2023-09 requires disaggregated information about a reporting entity’s effective tax rate reconciliation as well as information on income taxes paid. Entities are also required to disclose income/(loss) from continuing operations before income tax expense/(benefit) disaggregated between domestic and foreign operations, as well as income tax expense/(benefit) from continuing operations disaggregated by federal, state, and foreign operations. ASU 2023-09 is effective for fiscal years beginning after December 15, 2025, including interim periods within those fiscal years, for emerging growth companies that have elected not to opt out of the extended transition period. The Company elected to early adopt ASU 2023-09 for the fiscal year ended December 31, 2025, which did not have a significant impact on the Company’s consolidated financial statements. The Company’s early adoption of ASU 2023-09 was voluntary and does not represent an irrevocable election to opt out of the extended transition period for all standards. The Company has updated its income tax disclosures in accordance with ASU 2023-09, which primarily enhances transparency regarding income tax expense and related items.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March 2024, the FASB issued ASU 2024-02, </w:t>
      </w:r>
      <w:r>
        <w:rPr>
          <w:rFonts w:ascii="Times New Roman" w:cs="Times New Roman" w:eastAsia="Times New Roman" w:hAnsi="Times New Roman"/>
          <w:sz w:val="18"/>
          <w:szCs w:val="18"/>
          <w:i w:val="1"/>
          <w:iCs w:val="1"/>
          <w:color w:val="auto"/>
        </w:rPr>
        <w:t>Codification Improvements - Amendments to Remove References to the Concepts Statements</w:t>
      </w:r>
      <w:r>
        <w:rPr>
          <w:rFonts w:ascii="Times New Roman" w:cs="Times New Roman" w:eastAsia="Times New Roman" w:hAnsi="Times New Roman"/>
          <w:sz w:val="18"/>
          <w:szCs w:val="18"/>
          <w:color w:val="auto"/>
        </w:rPr>
        <w:t xml:space="preserve"> (“ASU 2024-02”). ASU 2024-02 contains amendments to the ASC that remove references to various Concepts Statements. In most instances, the references are extraneous and not required to understand or apply the guidance. In other instances, the references were used in prior Statements to provide guidance in certain topical areas. FASB Concepts Statements are nonauthoritative. Removing all references to Concepts Statements in the guidance is intended to simplify the ASC and draw a distinction between authoritative and nonauthoritative literature. ASU 2024-02 is effective January 1, 2026 for emerging growth companies electing not to opt out of the extended transition period and did not have a significant impact on the Company’s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Issued But Not Yet Adopted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October 2023, the FASB issued ASU No. 2023-06, </w:t>
      </w:r>
      <w:r>
        <w:rPr>
          <w:rFonts w:ascii="Times New Roman" w:cs="Times New Roman" w:eastAsia="Times New Roman" w:hAnsi="Times New Roman"/>
          <w:sz w:val="18"/>
          <w:szCs w:val="18"/>
          <w:i w:val="1"/>
          <w:iCs w:val="1"/>
          <w:color w:val="auto"/>
        </w:rPr>
        <w:t>Disclosure Improvements - Codification Amendments in Response to the SEC’s Disclosure Update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Simplification Initiative </w:t>
      </w:r>
      <w:r>
        <w:rPr>
          <w:rFonts w:ascii="Times New Roman" w:cs="Times New Roman" w:eastAsia="Times New Roman" w:hAnsi="Times New Roman"/>
          <w:sz w:val="18"/>
          <w:szCs w:val="18"/>
          <w:color w:val="auto"/>
        </w:rPr>
        <w:t>(“ASU 2023-06”), amending disclosure or presentation requirements related to various subtopics in the FASB’s ASC.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2023-06 was issued in response to the SEC’s initiative to update and simplify disclosure requirements. The SEC identified 27 disclosure requirements that were incremental to</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2" w:name="page13"/>
    <w:bookmarkEnd w:id="12"/>
    <w:p>
      <w:pPr>
        <w:jc w:val="both"/>
        <w:spacing w:after="0" w:line="255" w:lineRule="auto"/>
        <w:rPr>
          <w:sz w:val="20"/>
          <w:szCs w:val="20"/>
          <w:color w:val="auto"/>
        </w:rPr>
      </w:pPr>
      <w:r>
        <w:rPr>
          <w:rFonts w:ascii="Times New Roman" w:cs="Times New Roman" w:eastAsia="Times New Roman" w:hAnsi="Times New Roman"/>
          <w:sz w:val="18"/>
          <w:szCs w:val="18"/>
          <w:color w:val="auto"/>
        </w:rPr>
        <w:t>those in the ASC and referred them to the FASB for potential incorporation into GAAP. To avoid duplication, the SEC intended to eliminate those disclosure requirements from existing SEC regulations as the FASB incorporated them into the relevant ASC subtopics. ASU 2023-06 adds 14 of the 27 identified disclosure or presentation requirements to the ASC. ASU 2023-06 is to be applied prospectively, and early adoption is prohibited. For reporting entities subject to the SEC’s existing disclosure requirements, the effective dates of ASU 2023-06 will be the date on which the SEC’s removal of that related disclosure requirement from Regulation S-X or Regulation S-K becomes effective. If by June 30, 2027, the SEC has not removed the applicable requirement from Regulation S-X or Regulation S-K, the pending content of the related amendment will be removed from the ASC and will not become effective for any entities. ASU 2023-06 is not expected to have a significant impact on the Company’s consolidated financial statements.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On November 4,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(“Subtopic 220-40”)</w:t>
      </w:r>
      <w:r>
        <w:rPr>
          <w:rFonts w:ascii="Times New Roman" w:cs="Times New Roman" w:eastAsia="Times New Roman" w:hAnsi="Times New Roman"/>
          <w:sz w:val="18"/>
          <w:szCs w:val="18"/>
          <w:i w:val="1"/>
          <w:iCs w:val="1"/>
          <w:color w:val="auto"/>
        </w:rPr>
        <w:t>: Disaggregation of Income Statement Expenses</w:t>
      </w:r>
      <w:r>
        <w:rPr>
          <w:rFonts w:ascii="Times New Roman" w:cs="Times New Roman" w:eastAsia="Times New Roman" w:hAnsi="Times New Roman"/>
          <w:sz w:val="18"/>
          <w:szCs w:val="18"/>
          <w:color w:val="auto"/>
        </w:rPr>
        <w:t xml:space="preserve"> (“ASU 2024-03”) and in January 2025 the FASB issued ASU 2025-01, </w:t>
      </w:r>
      <w:r>
        <w:rPr>
          <w:rFonts w:ascii="Times New Roman" w:cs="Times New Roman" w:eastAsia="Times New Roman" w:hAnsi="Times New Roman"/>
          <w:sz w:val="18"/>
          <w:szCs w:val="18"/>
          <w:i w:val="1"/>
          <w:iCs w:val="1"/>
          <w:color w:val="auto"/>
        </w:rPr>
        <w:t>Clarifying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This standard responds to investor input by requiring public companies to disclose, in interim and annual reporting periods,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certain expenses in the notes to the financial statements. This standard is effective for all entities that are subject to Subtopic 220-40, for annual periods beginning after December 15, 2026, and interim periods within annual reporting periods beginning after December 15, 2027, but early adoption is permitted. ASU 2024-03 is not expected to have a significant impact on the Company’s consolidated financial statements.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2025, the FASB issued ASU 2025-08, </w:t>
      </w:r>
      <w:r>
        <w:rPr>
          <w:rFonts w:ascii="Times New Roman" w:cs="Times New Roman" w:eastAsia="Times New Roman" w:hAnsi="Times New Roman"/>
          <w:sz w:val="18"/>
          <w:szCs w:val="18"/>
          <w:i w:val="1"/>
          <w:iCs w:val="1"/>
          <w:color w:val="auto"/>
        </w:rPr>
        <w:t>Financial Instruments - Credit Losses (Topic 326): Purchased Loans</w:t>
      </w:r>
      <w:r>
        <w:rPr>
          <w:rFonts w:ascii="Times New Roman" w:cs="Times New Roman" w:eastAsia="Times New Roman" w:hAnsi="Times New Roman"/>
          <w:sz w:val="18"/>
          <w:szCs w:val="18"/>
          <w:color w:val="auto"/>
        </w:rPr>
        <w:t xml:space="preserve"> (“ASU 2025-08”). ASU 2025-08 expands the use of the gross-up approach for certain acquired loans by requiring qualifying purchased seasoned loans to be accounted for in a manner similar to purchased financial assets with credit deterioration. Under the gross-up approach, an allowance for expected credit losses is recognized as part of the initial amortized cost basis of the acquired loans rather than through a provision for credit losses on the acquisition date. The amendments are intended to improve comparability and reduce complexity associated with the accounting for acquired loans. ASU 2025-08 is effective for fiscal years beginning after December 15, 2026, including interim periods within those fiscal years, and early adoption is permitted. The Company is currently evaluating the impact that adoption of ASU 2025-08 may have on its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 Reclassifications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amounts reported in previous consolidated financial statements have been reclassified to conform to current period presentation. These reclassifications did not affect previously reported amounts of net income, total assets, or total shareholders’ equity.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 Correction of an Immaterial Error</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preparation of the Consolidated Statements of Cash Flows for the nine months ended September 30, 2026, management identified an immaterial error in the Consolidated Statements of Cash Flows for the nine months ended September 30, 2025. The Company incorrectly reported earnings on equity investments of $845 thousand as a positive adjustment to net income in operating activities rather than a negative adjustment. The offset was a $1.69 million increase to “Net changes in interest receivable and other assets” within operating cash flows, with no overall change to previously reported operating cash flows for the nine months ended September 30, 2025. The error did not affect consolidated net income, earnings per share, total assets, shareholders’ equity, or total reported cash balances. Accordingly, the Company has revised the Consolidated Statement of Cash Flows for the nine months ended September 30, 2025 presented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Fair Value of Assets and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Hierarchy and Fair Value Measurement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Accounting standards require the Company to maximize the use of observable inputs and minimize the use of unobservable inputs when measuring fair value. The standard describes three levels of inputs that may be used to measure fair value: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Quoted prices (unadjusted) for identical assets or liabilities in active markets that the Company has the ability to access as of the measurement date.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3" w:name="page14"/>
    <w:bookmarkEnd w:id="13"/>
    <w:p>
      <w:pPr>
        <w:ind w:left="660"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Significant unobservable inputs that reflect the Company’s own assumptions about the assumptions that market participants would use in pricing an asset or liability.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values of securities are determined by obtaining quoted prices on nationally recognized securities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2.1 summarizes the Company’s assets and liabilities required to be recorded at fair value on a recurring basis.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2.1: Fair Value on a Recurring Basis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60" w:type="dxa"/>
            <w:vAlign w:val="bottom"/>
            <w:tcBorders>
              <w:top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6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Significant</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Measurement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8"/>
              </w:rPr>
              <w:t>Active Markets</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w w:val="98"/>
              </w:rPr>
              <w:t>Significant</w:t>
            </w:r>
          </w:p>
        </w:tc>
        <w:tc>
          <w:tcPr>
            <w:tcW w:w="13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Categories: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rPr>
              <w:t>for Identical</w:t>
            </w:r>
          </w:p>
        </w:tc>
        <w:tc>
          <w:tcPr>
            <w:tcW w:w="160" w:type="dxa"/>
            <w:vAlign w:val="bottom"/>
          </w:tcPr>
          <w:p>
            <w:pPr>
              <w:spacing w:after="0"/>
              <w:rPr>
                <w:sz w:val="15"/>
                <w:szCs w:val="15"/>
                <w:color w:val="auto"/>
              </w:rPr>
            </w:pPr>
          </w:p>
        </w:tc>
        <w:tc>
          <w:tcPr>
            <w:tcW w:w="11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Observable</w:t>
            </w:r>
          </w:p>
        </w:tc>
        <w:tc>
          <w:tcPr>
            <w:tcW w:w="16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Unobservable</w:t>
            </w: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Changes in Fair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auto"/>
              </w:rPr>
              <w:t>Carrying</w:t>
            </w:r>
          </w:p>
        </w:tc>
        <w:tc>
          <w:tcPr>
            <w:tcW w:w="140" w:type="dxa"/>
            <w:vAlign w:val="bottom"/>
          </w:tcPr>
          <w:p>
            <w:pPr>
              <w:spacing w:after="0"/>
              <w:rPr>
                <w:sz w:val="16"/>
                <w:szCs w:val="16"/>
                <w:color w:val="auto"/>
              </w:rPr>
            </w:pPr>
          </w:p>
        </w:tc>
        <w:tc>
          <w:tcPr>
            <w:tcW w:w="136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7"/>
              </w:rPr>
              <w:t>Assets</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rPr>
              <w:t>Inputs</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rPr>
              <w:t>Inputs</w:t>
            </w:r>
          </w:p>
        </w:tc>
        <w:tc>
          <w:tcPr>
            <w:tcW w:w="13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Value Recorded</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Value</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(Level 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(Level 3)</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88"/>
              </w:rPr>
              <w:t>In</w:t>
            </w:r>
            <w:r>
              <w:rPr>
                <w:rFonts w:ascii="Times New Roman" w:cs="Times New Roman" w:eastAsia="Times New Roman" w:hAnsi="Times New Roman"/>
                <w:sz w:val="23"/>
                <w:szCs w:val="23"/>
                <w:color w:val="auto"/>
                <w:w w:val="88"/>
                <w:vertAlign w:val="superscript"/>
              </w:rPr>
              <w:t>1</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00" w:type="dxa"/>
            <w:vAlign w:val="bottom"/>
            <w:gridSpan w:val="3"/>
          </w:tcPr>
          <w:p>
            <w:pPr>
              <w:ind w:left="220"/>
              <w:spacing w:after="0" w:line="189" w:lineRule="exact"/>
              <w:rPr>
                <w:sz w:val="20"/>
                <w:szCs w:val="20"/>
                <w:color w:val="auto"/>
              </w:rPr>
            </w:pPr>
            <w:r>
              <w:rPr>
                <w:rFonts w:ascii="Times New Roman" w:cs="Times New Roman" w:eastAsia="Times New Roman" w:hAnsi="Times New Roman"/>
                <w:sz w:val="18"/>
                <w:szCs w:val="18"/>
                <w:color w:val="auto"/>
              </w:rPr>
              <w:t>U.S. government agency securities, mortgage-backed</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300" w:type="dxa"/>
            <w:vAlign w:val="bottom"/>
            <w:gridSpan w:val="3"/>
          </w:tcPr>
          <w:p>
            <w:pPr>
              <w:ind w:left="340"/>
              <w:spacing w:after="0" w:line="184" w:lineRule="exact"/>
              <w:rPr>
                <w:sz w:val="20"/>
                <w:szCs w:val="20"/>
                <w:color w:val="auto"/>
              </w:rPr>
            </w:pPr>
            <w:r>
              <w:rPr>
                <w:rFonts w:ascii="Times New Roman" w:cs="Times New Roman" w:eastAsia="Times New Roman" w:hAnsi="Times New Roman"/>
                <w:sz w:val="18"/>
                <w:szCs w:val="18"/>
                <w:color w:val="auto"/>
              </w:rPr>
              <w:t>securities, obligations of states and political</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subdivisions, and collateralized mortgage obligations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82,228</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82,228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OCI</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30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300" w:type="dxa"/>
            <w:vAlign w:val="bottom"/>
            <w:gridSpan w:val="3"/>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U.S. government agency securities, mortgage-backed</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4300" w:type="dxa"/>
            <w:vAlign w:val="bottom"/>
            <w:gridSpan w:val="3"/>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securities, obligations of states and political</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300" w:type="dxa"/>
            <w:vAlign w:val="bottom"/>
            <w:gridSpan w:val="3"/>
            <w:shd w:val="clear" w:color="auto" w:fill="CCEEFF"/>
          </w:tcPr>
          <w:p>
            <w:pPr>
              <w:ind w:left="340"/>
              <w:spacing w:after="0" w:line="181" w:lineRule="exact"/>
              <w:rPr>
                <w:sz w:val="20"/>
                <w:szCs w:val="20"/>
                <w:color w:val="auto"/>
              </w:rPr>
            </w:pPr>
            <w:r>
              <w:rPr>
                <w:rFonts w:ascii="Times New Roman" w:cs="Times New Roman" w:eastAsia="Times New Roman" w:hAnsi="Times New Roman"/>
                <w:sz w:val="18"/>
                <w:szCs w:val="18"/>
                <w:color w:val="auto"/>
              </w:rPr>
              <w:t>subdivisions, collateralized mortgage obligations,</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94,699</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94,699</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OCI</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corporate bonds</w:t>
            </w:r>
          </w:p>
        </w:tc>
        <w:tc>
          <w:tcPr>
            <w:tcW w:w="16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0" w:hanging="92"/>
        <w:spacing w:after="0"/>
        <w:tabs>
          <w:tab w:leader="none" w:pos="100" w:val="left"/>
        </w:tabs>
        <w:numPr>
          <w:ilvl w:val="0"/>
          <w:numId w:val="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comprehensive income (“OCI”) or net income (“NI”).</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Available-for-sale securities are recorded at fair value on a recurring basis. When available, quoted market prices (Level 1 inputs) are used to determine the fair value of available-for-sale securities. If quoted market prices are not available, management obtains pricing information from a reputable third-party service provider, who may utilize valuation techniques that use current market-based or independently sourced parameters, such as bid/ask prices, dealer-quoted prices, interest rates, benchmark yield curves, prepayment speeds, probability of default, loss severity, and credit spreads (Level 2 inputs). Level 2 securities include U.S. agencies’ or government-sponsored agencies’ debt securities, mortgage-backed securities, government agency-issued bonds, privately issued collateralized mortgage obligations, and corporate bonds. Level 3 securities are based on unobservable inputs that are supported by little or no market activity. In addition, values use discounted cash flow models and may include significant management judgment and estimation. As of September 30, 2026 and December 31, 2025, there were no Level 1 available-for-sale securities and no transfers between Level 1 and Level 2 classifications for assets or liabilities measured at fair value on a recurring basis.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financial assets may be measured at fair value on a non-recurring basis. These assets are subject to fair value adjustments that result from the application of the lower of cost or fair value accounting or write-downs of individual assets, such as collateral dependent loans and other real estate owned. As of September 30, 2026 and December 31, 2025, the carrying amount of assets measured at fair value on a non-recurring basis was immaterial to the Company.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Disclosures about Fair Value of Financial Instruments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Table 2.2 is a summary of fair value estimates for financial instruments as of September 30, 2026 and December 31, 2025. The carrying amounts in Table 2.2 are recorded in the consolidated balance sheets under the indicated captions. Further, management has not disclosed the fair value of financial instruments specifically excluded from disclosure requirements, such as BOLI.</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Table 2.2: Fair Value Estimates for Financial Instruments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6"/>
          </w:tcPr>
          <w:p>
            <w:pPr>
              <w:ind w:left="880"/>
              <w:spacing w:after="0"/>
              <w:rPr>
                <w:sz w:val="20"/>
                <w:szCs w:val="20"/>
                <w:color w:val="auto"/>
              </w:rPr>
            </w:pPr>
            <w:r>
              <w:rPr>
                <w:rFonts w:ascii="Times New Roman" w:cs="Times New Roman" w:eastAsia="Times New Roman" w:hAnsi="Times New Roman"/>
                <w:sz w:val="18"/>
                <w:szCs w:val="18"/>
                <w:color w:val="auto"/>
              </w:rPr>
              <w:t>September 30, 2026</w:t>
            </w: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vMerge w:val="restart"/>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80"/>
              <w:spacing w:after="0" w:line="182" w:lineRule="exact"/>
              <w:rPr>
                <w:sz w:val="20"/>
                <w:szCs w:val="20"/>
                <w:color w:val="auto"/>
              </w:rPr>
            </w:pPr>
            <w:r>
              <w:rPr>
                <w:rFonts w:ascii="Times New Roman" w:cs="Times New Roman" w:eastAsia="Times New Roman" w:hAnsi="Times New Roman"/>
                <w:sz w:val="18"/>
                <w:szCs w:val="18"/>
                <w:color w:val="auto"/>
              </w:rPr>
              <w:t>Carrying</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8"/>
                <w:szCs w:val="18"/>
                <w:color w:val="auto"/>
              </w:rPr>
              <w:t>Fair Value</w:t>
            </w:r>
          </w:p>
        </w:tc>
        <w:tc>
          <w:tcPr>
            <w:tcW w:w="180" w:type="dxa"/>
            <w:vAlign w:val="bottom"/>
          </w:tcPr>
          <w:p>
            <w:pPr>
              <w:spacing w:after="0"/>
              <w:rPr>
                <w:sz w:val="15"/>
                <w:szCs w:val="15"/>
                <w:color w:val="auto"/>
              </w:rPr>
            </w:pPr>
          </w:p>
        </w:tc>
        <w:tc>
          <w:tcPr>
            <w:tcW w:w="880" w:type="dxa"/>
            <w:vAlign w:val="bottom"/>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Carrying</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ind w:left="80"/>
              <w:spacing w:after="0" w:line="182" w:lineRule="exact"/>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39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Amounts</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9"/>
              </w:rPr>
              <w:t>Fair Value</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Hierarchy</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Amounts</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Fair Value</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Hierarchy</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679,482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679,482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506,851</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506,851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Level 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Time deposits in banks</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9"/>
              </w:rPr>
              <w:t>Level 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82,228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94,699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94,699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 held-to-maturity</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gridSpan w:val="2"/>
          </w:tcPr>
          <w:p>
            <w:pPr>
              <w:ind w:left="160"/>
              <w:spacing w:after="0" w:line="189" w:lineRule="exact"/>
              <w:rPr>
                <w:sz w:val="20"/>
                <w:szCs w:val="20"/>
                <w:color w:val="auto"/>
              </w:rPr>
            </w:pPr>
            <w:r>
              <w:rPr>
                <w:rFonts w:ascii="Times New Roman" w:cs="Times New Roman" w:eastAsia="Times New Roman" w:hAnsi="Times New Roman"/>
                <w:sz w:val="18"/>
                <w:szCs w:val="18"/>
                <w:color w:val="auto"/>
              </w:rPr>
              <w:t>Loans held for investment, net of allowance for</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credit losses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4,654,825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4,537,649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4,030,520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3,971,563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256,661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554,611</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553,987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Subordinated notes</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74,041</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used the following methods and assumptions to estimate the fair value of its financial instruments at September 30, 2026 and December 31,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Cash and cash equivalents and time deposits in banks</w:t>
      </w:r>
      <w:r>
        <w:rPr>
          <w:rFonts w:ascii="Times New Roman" w:cs="Times New Roman" w:eastAsia="Times New Roman" w:hAnsi="Times New Roman"/>
          <w:sz w:val="18"/>
          <w:szCs w:val="18"/>
          <w:color w:val="auto"/>
        </w:rPr>
        <w:t>: The carrying amount is estimated to be fair value due to the liquid nature of the assets and their short-term maturities.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Investment securities</w:t>
      </w:r>
      <w:r>
        <w:rPr>
          <w:rFonts w:ascii="Times New Roman" w:cs="Times New Roman" w:eastAsia="Times New Roman" w:hAnsi="Times New Roman"/>
          <w:sz w:val="18"/>
          <w:szCs w:val="18"/>
          <w:color w:val="auto"/>
        </w:rPr>
        <w:t>: See discussion above for the methods and assumptions used by the Company to estimate the fair value of available-for-sale investment securities. The fair value of held-to-maturity securities is estimated by calculating the net present value of future cash flows based on observable market data, such as interest rates and yield curves (observable at commonly quoted intervals) as provided by an independent third party.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Loans held for investment, net of allowance for credit losses</w:t>
      </w:r>
      <w:r>
        <w:rPr>
          <w:rFonts w:ascii="Times New Roman" w:cs="Times New Roman" w:eastAsia="Times New Roman" w:hAnsi="Times New Roman"/>
          <w:sz w:val="18"/>
          <w:szCs w:val="18"/>
          <w:color w:val="auto"/>
        </w:rPr>
        <w:t>: For variable rate loans that reprice frequently with no significant change in credit risk, fair values are based on carrying values. Fair values for other loans are estimated using discounted cash flow analyses, which use interest rates being offered at each reporting date for loans with similar terms to borrowers of comparable creditworthiness without considering widening credit spreads due to market illiquidity, which approximates the exit price notion. The allowance for credit losses is considered to be a reasonable estimate of loan discount for credit quality concerns.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Commitments to extend credit</w:t>
      </w:r>
      <w:r>
        <w:rPr>
          <w:rFonts w:ascii="Times New Roman" w:cs="Times New Roman" w:eastAsia="Times New Roman" w:hAnsi="Times New Roman"/>
          <w:sz w:val="18"/>
          <w:szCs w:val="18"/>
          <w:color w:val="auto"/>
        </w:rPr>
        <w:t>: These are primarily for adjustable rate loans, and there are no differences between the committed amounts and their fair values. Commitments to fund fixed rate loans are at rates which approximate fair value at each reporting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Time deposits</w:t>
      </w:r>
      <w:r>
        <w:rPr>
          <w:rFonts w:ascii="Times New Roman" w:cs="Times New Roman" w:eastAsia="Times New Roman" w:hAnsi="Times New Roman"/>
          <w:sz w:val="18"/>
          <w:szCs w:val="18"/>
          <w:color w:val="auto"/>
        </w:rPr>
        <w:t>: The fair value is estimated using a discounted cash flow analysis that uses interest rates offered at each reporting date by the Company for certificates with similar remaining maturities, resulting in a Level 2 classification.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Subordinated notes</w:t>
      </w:r>
      <w:r>
        <w:rPr>
          <w:rFonts w:ascii="Times New Roman" w:cs="Times New Roman" w:eastAsia="Times New Roman" w:hAnsi="Times New Roman"/>
          <w:sz w:val="18"/>
          <w:szCs w:val="18"/>
          <w:color w:val="auto"/>
        </w:rPr>
        <w:t>: The fair value is estimated by discounting the future cash flow using the current three-month Chicago Mercantile Exchange (“CME”) Term Secured Overnight Financing Rate (“SOFR”). The Company’s subordinated notes are not registered securities and were issued through private placements, resulting in a Level 3 classification.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3: Investment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investment securities portfolio includes obligations of states and political subdivisions, securities issued by U.S. federal government agencies, such as the U.S. Small Business Administration (the “SBA”), and securities issued by U.S. Government Sponsored Entities (“GSEs”), such as the Federal National Mortgage Association (the “FNMA”), the Federal Home Loan Mortgage Corporation (the “FHLMC”), and the FHLB. The Company also invests in residential and commercial mortgage-backed securities, collateralized mortgage obligations issued or guaranteed by GSEs, and corporate bonds, as reflected in Tables 3.1 and 3.2.</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summary of the amortized cost and fair value related to securities held-to-maturity as of September 30, 2026 and December 31, 2025 is presented in Table 3.1. The amortized cost amounts presented are net of an allowance for credit losses of $20.0 thousand as of September 30, 2026 and December 31, 2025.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3.1: Securities Held-to-Maturity</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276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color w:val="auto"/>
              </w:rPr>
              <w:t>Gross Unrealized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Amortized Cost</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Gains</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(Losses)</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49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9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held-to-maturity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9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9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held-to-maturity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securities issued by states and political subdivisions, for purposes of evaluating whether to recognize credit loss expense, management considers: (i) issuer and/or guarantor credit ratings; (ii) historical probability of default and loss given default rates for given bond ratings and remaining maturity; (iii) whether issuers continue to make timely principal and interest payments under the contractual terms of the securities; (iv) internal credit review of the financial information; and (v) whether or not such securities have credit enhancements such as guarantees, contain a defeasance clause, or are pre-refunded by the issuers.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the amortized cost of held-to-maturity securities was net of an allowance for credit losses of $20.0 thousand. The Company did not record an allowance for credit losses on available-for-sale securities, at fair value, as of September 30, 2026 or December 31, 2025.</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the amortized cost and fair value related to securities available-for-sale as of September 30, 2026 and December 31, 2025 is presented in Table 3.2. Securities available-for-sale did not have an allowance for credit losses as of September 30, 2026 or December 31, 2025.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3.2: Securities Available-for-Sale</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91"/>
        </w:trPr>
        <w:tc>
          <w:tcPr>
            <w:tcW w:w="20" w:type="dxa"/>
            <w:vAlign w:val="bottom"/>
          </w:tcPr>
          <w:p>
            <w:pPr>
              <w:spacing w:after="0"/>
              <w:rPr>
                <w:sz w:val="24"/>
                <w:szCs w:val="24"/>
                <w:color w:val="auto"/>
              </w:rPr>
            </w:pPr>
          </w:p>
        </w:tc>
        <w:tc>
          <w:tcPr>
            <w:tcW w:w="2840" w:type="dxa"/>
            <w:vAlign w:val="bottom"/>
            <w:tcBorders>
              <w:top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color w:val="auto"/>
              </w:rPr>
              <w:t>Gross Unrealized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Amortized Cost</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Gains</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(Losses)</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Fair Value</w:t>
            </w:r>
          </w:p>
        </w:tc>
      </w:tr>
      <w:tr>
        <w:trPr>
          <w:trHeight w:val="237"/>
        </w:trPr>
        <w:tc>
          <w:tcPr>
            <w:tcW w:w="20" w:type="dxa"/>
            <w:vAlign w:val="bottom"/>
            <w:shd w:val="clear" w:color="auto" w:fill="CCEEFF"/>
          </w:tcPr>
          <w:p>
            <w:pPr>
              <w:spacing w:after="0"/>
              <w:rPr>
                <w:sz w:val="20"/>
                <w:szCs w:val="20"/>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w:t>
            </w:r>
          </w:p>
        </w:tc>
      </w:tr>
      <w:tr>
        <w:trPr>
          <w:trHeight w:val="243"/>
        </w:trPr>
        <w:tc>
          <w:tcPr>
            <w:tcW w:w="20" w:type="dxa"/>
            <w:vAlign w:val="bottom"/>
            <w:shd w:val="clear" w:color="auto" w:fill="CCEEFF"/>
          </w:tcPr>
          <w:p>
            <w:pPr>
              <w:spacing w:after="0"/>
              <w:rPr>
                <w:sz w:val="21"/>
                <w:szCs w:val="21"/>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42,451</w:t>
            </w:r>
          </w:p>
        </w:tc>
      </w:tr>
      <w:tr>
        <w:trPr>
          <w:trHeight w:val="243"/>
        </w:trPr>
        <w:tc>
          <w:tcPr>
            <w:tcW w:w="20" w:type="dxa"/>
            <w:vAlign w:val="bottom"/>
          </w:tcPr>
          <w:p>
            <w:pPr>
              <w:spacing w:after="0"/>
              <w:rPr>
                <w:sz w:val="21"/>
                <w:szCs w:val="21"/>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33,835</w:t>
            </w:r>
          </w:p>
        </w:tc>
      </w:tr>
      <w:tr>
        <w:trPr>
          <w:trHeight w:val="243"/>
        </w:trPr>
        <w:tc>
          <w:tcPr>
            <w:tcW w:w="20" w:type="dxa"/>
            <w:vAlign w:val="bottom"/>
            <w:shd w:val="clear" w:color="auto" w:fill="CCEEFF"/>
          </w:tcPr>
          <w:p>
            <w:pPr>
              <w:spacing w:after="0"/>
              <w:rPr>
                <w:sz w:val="21"/>
                <w:szCs w:val="21"/>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37"/>
        </w:trPr>
        <w:tc>
          <w:tcPr>
            <w:tcW w:w="20" w:type="dxa"/>
            <w:vAlign w:val="bottom"/>
          </w:tcPr>
          <w:p>
            <w:pPr>
              <w:spacing w:after="0"/>
              <w:rPr>
                <w:sz w:val="20"/>
                <w:szCs w:val="20"/>
                <w:color w:val="auto"/>
              </w:rPr>
            </w:pP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available-for-sale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98,975</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(16,942)</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82,228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7,276</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7,361</w:t>
            </w:r>
          </w:p>
        </w:tc>
      </w:tr>
      <w:tr>
        <w:trPr>
          <w:trHeight w:val="243"/>
        </w:trPr>
        <w:tc>
          <w:tcPr>
            <w:tcW w:w="20" w:type="dxa"/>
            <w:vAlign w:val="bottom"/>
            <w:shd w:val="clear" w:color="auto" w:fill="CCEEFF"/>
          </w:tcPr>
          <w:p>
            <w:pPr>
              <w:spacing w:after="0"/>
              <w:rPr>
                <w:sz w:val="21"/>
                <w:szCs w:val="21"/>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48,186</w:t>
            </w:r>
          </w:p>
        </w:tc>
      </w:tr>
      <w:tr>
        <w:trPr>
          <w:trHeight w:val="243"/>
        </w:trPr>
        <w:tc>
          <w:tcPr>
            <w:tcW w:w="20" w:type="dxa"/>
            <w:vAlign w:val="bottom"/>
          </w:tcPr>
          <w:p>
            <w:pPr>
              <w:spacing w:after="0"/>
              <w:rPr>
                <w:sz w:val="21"/>
                <w:szCs w:val="21"/>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36,964</w:t>
            </w:r>
          </w:p>
        </w:tc>
      </w:tr>
      <w:tr>
        <w:trPr>
          <w:trHeight w:val="243"/>
        </w:trPr>
        <w:tc>
          <w:tcPr>
            <w:tcW w:w="20" w:type="dxa"/>
            <w:vAlign w:val="bottom"/>
            <w:shd w:val="clear" w:color="auto" w:fill="CCEEFF"/>
          </w:tcPr>
          <w:p>
            <w:pPr>
              <w:spacing w:after="0"/>
              <w:rPr>
                <w:sz w:val="21"/>
                <w:szCs w:val="21"/>
                <w:color w:val="auto"/>
              </w:rPr>
            </w:pPr>
          </w:p>
        </w:tc>
        <w:tc>
          <w:tcPr>
            <w:tcW w:w="4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43"/>
        </w:trPr>
        <w:tc>
          <w:tcPr>
            <w:tcW w:w="20" w:type="dxa"/>
            <w:vAlign w:val="bottom"/>
          </w:tcPr>
          <w:p>
            <w:pPr>
              <w:spacing w:after="0"/>
              <w:rPr>
                <w:sz w:val="21"/>
                <w:szCs w:val="21"/>
                <w:color w:val="auto"/>
              </w:rPr>
            </w:pPr>
          </w:p>
        </w:tc>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r>
      <w:tr>
        <w:trPr>
          <w:trHeight w:val="261"/>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4940" w:type="dxa"/>
            <w:vAlign w:val="bottom"/>
            <w:tcBorders>
              <w:top w:val="single" w:sz="8" w:color="CCEEFF"/>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available-for-sale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(12,667)</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The amortized cost and fair value of investment securities by contractual maturity at September 30, 2026 and December 31, 2025 are shown in Table 3.3. Expected maturities may differ from contractual maturities if the issuers of the securities have the right to call or prepay obligations with or without call or prepayment penalties.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Table 3.3: Contractual Maturities - Investment Securities</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9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September 30, 2026</w:t>
            </w: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Held-to-Maturity</w:t>
            </w:r>
          </w:p>
        </w:tc>
        <w:tc>
          <w:tcPr>
            <w:tcW w:w="160" w:type="dxa"/>
            <w:vAlign w:val="bottom"/>
          </w:tcPr>
          <w:p>
            <w:pPr>
              <w:spacing w:after="0"/>
              <w:rPr>
                <w:sz w:val="21"/>
                <w:szCs w:val="21"/>
                <w:color w:val="auto"/>
              </w:rPr>
            </w:pPr>
          </w:p>
        </w:tc>
        <w:tc>
          <w:tcPr>
            <w:tcW w:w="16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Available-for-Sale</w:t>
            </w:r>
          </w:p>
        </w:tc>
        <w:tc>
          <w:tcPr>
            <w:tcW w:w="180" w:type="dxa"/>
            <w:vAlign w:val="bottom"/>
          </w:tcPr>
          <w:p>
            <w:pPr>
              <w:spacing w:after="0"/>
              <w:rPr>
                <w:sz w:val="21"/>
                <w:szCs w:val="21"/>
                <w:color w:val="auto"/>
              </w:rPr>
            </w:pPr>
          </w:p>
        </w:tc>
        <w:tc>
          <w:tcPr>
            <w:tcW w:w="16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Held-to-Maturity</w:t>
            </w:r>
          </w:p>
        </w:tc>
        <w:tc>
          <w:tcPr>
            <w:tcW w:w="140" w:type="dxa"/>
            <w:vAlign w:val="bottom"/>
          </w:tcPr>
          <w:p>
            <w:pPr>
              <w:spacing w:after="0"/>
              <w:rPr>
                <w:sz w:val="21"/>
                <w:szCs w:val="21"/>
                <w:color w:val="auto"/>
              </w:rPr>
            </w:pPr>
          </w:p>
        </w:tc>
        <w:tc>
          <w:tcPr>
            <w:tcW w:w="16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Available-for-Sale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0" w:type="dxa"/>
            <w:vAlign w:val="bottom"/>
            <w:vMerge w:val="restart"/>
          </w:tcPr>
          <w:p>
            <w:pPr>
              <w:spacing w:after="0"/>
              <w:rPr>
                <w:sz w:val="15"/>
                <w:szCs w:val="15"/>
                <w:color w:val="auto"/>
              </w:rPr>
            </w:pPr>
          </w:p>
        </w:tc>
        <w:tc>
          <w:tcPr>
            <w:tcW w:w="920" w:type="dxa"/>
            <w:vAlign w:val="bottom"/>
            <w:tcBorders>
              <w:top w:val="single" w:sz="8" w:color="auto"/>
            </w:tcBorders>
            <w:gridSpan w:val="4"/>
          </w:tcPr>
          <w:p>
            <w:pPr>
              <w:ind w:left="40"/>
              <w:spacing w:after="0" w:line="182" w:lineRule="exact"/>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top w:val="single" w:sz="8" w:color="auto"/>
            </w:tcBorders>
            <w:gridSpan w:val="3"/>
          </w:tcPr>
          <w:p>
            <w:pPr>
              <w:ind w:left="40"/>
              <w:spacing w:after="0" w:line="182" w:lineRule="exact"/>
              <w:rPr>
                <w:sz w:val="20"/>
                <w:szCs w:val="20"/>
                <w:color w:val="auto"/>
              </w:rPr>
            </w:pPr>
            <w:r>
              <w:rPr>
                <w:rFonts w:ascii="Times New Roman" w:cs="Times New Roman" w:eastAsia="Times New Roman" w:hAnsi="Times New Roman"/>
                <w:sz w:val="18"/>
                <w:szCs w:val="18"/>
                <w:color w:val="auto"/>
              </w:rPr>
              <w:t>Amortized</w:t>
            </w: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top w:val="single" w:sz="8" w:color="auto"/>
            </w:tcBorders>
            <w:gridSpan w:val="3"/>
          </w:tcPr>
          <w:p>
            <w:pPr>
              <w:ind w:left="40"/>
              <w:spacing w:after="0" w:line="182" w:lineRule="exact"/>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top w:val="single" w:sz="8" w:color="auto"/>
            </w:tcBorders>
            <w:gridSpan w:val="3"/>
          </w:tcPr>
          <w:p>
            <w:pPr>
              <w:ind w:left="40"/>
              <w:spacing w:after="0" w:line="182" w:lineRule="exact"/>
              <w:rPr>
                <w:sz w:val="20"/>
                <w:szCs w:val="20"/>
                <w:color w:val="auto"/>
              </w:rPr>
            </w:pPr>
            <w:r>
              <w:rPr>
                <w:rFonts w:ascii="Times New Roman" w:cs="Times New Roman" w:eastAsia="Times New Roman" w:hAnsi="Times New Roman"/>
                <w:sz w:val="18"/>
                <w:szCs w:val="18"/>
                <w:color w:val="auto"/>
              </w:rPr>
              <w:t>Amortized</w:t>
            </w: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390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Cost</w:t>
            </w:r>
          </w:p>
        </w:tc>
        <w:tc>
          <w:tcPr>
            <w:tcW w:w="8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w w:val="99"/>
              </w:rPr>
              <w:t>Fair Value</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Cost</w:t>
            </w:r>
          </w:p>
        </w:tc>
        <w:tc>
          <w:tcPr>
            <w:tcW w:w="8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Fair Value</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Cost</w:t>
            </w:r>
          </w:p>
        </w:tc>
        <w:tc>
          <w:tcPr>
            <w:tcW w:w="8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w w:val="99"/>
              </w:rPr>
              <w:t>Fair Value</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Cost</w:t>
            </w:r>
          </w:p>
        </w:tc>
        <w:tc>
          <w:tcPr>
            <w:tcW w:w="8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one but within five years</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ten years</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23,383</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Investment securities not due at a single maturity</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date:</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CEEFF"/>
          </w:tcPr>
          <w:p>
            <w:pPr>
              <w:spacing w:after="0"/>
              <w:rPr>
                <w:sz w:val="21"/>
                <w:szCs w:val="21"/>
                <w:color w:val="auto"/>
              </w:rPr>
            </w:pPr>
          </w:p>
        </w:tc>
        <w:tc>
          <w:tcPr>
            <w:tcW w:w="3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42,451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48,186</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0" w:type="dxa"/>
            <w:vAlign w:val="bottom"/>
          </w:tcPr>
          <w:p>
            <w:pPr>
              <w:spacing w:after="0"/>
              <w:rPr>
                <w:sz w:val="1"/>
                <w:szCs w:val="1"/>
                <w:color w:val="auto"/>
              </w:rPr>
            </w:pPr>
          </w:p>
        </w:tc>
      </w:tr>
      <w:tr>
        <w:trPr>
          <w:trHeight w:val="262"/>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39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98,975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107,197</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purchases of investment securities during the three and nine months ended September 30, 2026, as compared to the purchase of one investment security for $1.0 million during the three and nine months ended September 30, 2025. There were no sales of investment securities during the three and nine months ended September 30, 2026 or September 30, 2025.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3.4: Pledged Investment Securities</w:t>
            </w: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3"/>
        </w:trPr>
        <w:tc>
          <w:tcPr>
            <w:tcW w:w="20" w:type="dxa"/>
            <w:vAlign w:val="bottom"/>
            <w:tcBorders>
              <w:bottom w:val="single" w:sz="8" w:color="auto"/>
            </w:tcBorders>
          </w:tcPr>
          <w:p>
            <w:pPr>
              <w:spacing w:after="0"/>
              <w:rPr>
                <w:sz w:val="22"/>
                <w:szCs w:val="22"/>
                <w:color w:val="auto"/>
              </w:rPr>
            </w:pPr>
          </w:p>
        </w:tc>
        <w:tc>
          <w:tcPr>
            <w:tcW w:w="29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September 30, 2026</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37"/>
        </w:trPr>
        <w:tc>
          <w:tcPr>
            <w:tcW w:w="20" w:type="dxa"/>
            <w:vAlign w:val="bottom"/>
            <w:shd w:val="clear" w:color="auto" w:fill="CCEEFF"/>
          </w:tcPr>
          <w:p>
            <w:pPr>
              <w:spacing w:after="0"/>
              <w:rPr>
                <w:sz w:val="20"/>
                <w:szCs w:val="20"/>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Pledged to:</w:t>
            </w:r>
          </w:p>
        </w:tc>
        <w:tc>
          <w:tcPr>
            <w:tcW w:w="2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The State of California, securing deposits of public funds and borrowings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47,091</w:t>
            </w:r>
          </w:p>
        </w:tc>
      </w:tr>
      <w:tr>
        <w:trPr>
          <w:trHeight w:val="243"/>
        </w:trPr>
        <w:tc>
          <w:tcPr>
            <w:tcW w:w="20" w:type="dxa"/>
            <w:vAlign w:val="bottom"/>
            <w:shd w:val="clear" w:color="auto" w:fill="CCEEFF"/>
          </w:tcPr>
          <w:p>
            <w:pPr>
              <w:spacing w:after="0"/>
              <w:rPr>
                <w:sz w:val="21"/>
                <w:szCs w:val="21"/>
                <w:color w:val="auto"/>
              </w:rPr>
            </w:pPr>
          </w:p>
        </w:tc>
        <w:tc>
          <w:tcPr>
            <w:tcW w:w="70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Federal Reserve Discount Window, increasing borrowing capacity</w:t>
            </w:r>
          </w:p>
        </w:tc>
        <w:tc>
          <w:tcPr>
            <w:tcW w:w="20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36,158</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42,578</w:t>
            </w:r>
          </w:p>
        </w:tc>
      </w:tr>
      <w:tr>
        <w:trPr>
          <w:trHeight w:val="237"/>
        </w:trPr>
        <w:tc>
          <w:tcPr>
            <w:tcW w:w="20" w:type="dxa"/>
            <w:vAlign w:val="bottom"/>
          </w:tcPr>
          <w:p>
            <w:pPr>
              <w:spacing w:after="0"/>
              <w:rPr>
                <w:sz w:val="20"/>
                <w:szCs w:val="20"/>
                <w:color w:val="auto"/>
              </w:rPr>
            </w:pPr>
          </w:p>
        </w:tc>
        <w:tc>
          <w:tcPr>
            <w:tcW w:w="70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Total pledged investment securities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77,558</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89,669</w:t>
            </w: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Table 3.5 details the gross unrealized losses and fair values aggregated by investment category and length of time that individual available-for-sale securities have been in a continuous unrealized loss position at September 30, 2026 and December 31, 2025.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Table 3.5: Securities Available-for-Sale in Continuous Unrealized Loss Positions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920" w:type="dxa"/>
            <w:vAlign w:val="bottom"/>
            <w:tcBorders>
              <w:top w:val="single" w:sz="8" w:color="auto"/>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Less than 12 months</w:t>
            </w:r>
          </w:p>
        </w:tc>
        <w:tc>
          <w:tcPr>
            <w:tcW w:w="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color w:val="auto"/>
              </w:rPr>
              <w:t>12 months or more</w:t>
            </w:r>
          </w:p>
        </w:tc>
        <w:tc>
          <w:tcPr>
            <w:tcW w:w="80" w:type="dxa"/>
            <w:vAlign w:val="bottom"/>
          </w:tcPr>
          <w:p>
            <w:pPr>
              <w:spacing w:after="0"/>
              <w:rPr>
                <w:sz w:val="24"/>
                <w:szCs w:val="24"/>
                <w:color w:val="auto"/>
              </w:rPr>
            </w:pPr>
          </w:p>
        </w:tc>
        <w:tc>
          <w:tcPr>
            <w:tcW w:w="24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Total securities in a loss position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ind w:left="40"/>
              <w:spacing w:after="0" w:line="182" w:lineRule="exact"/>
              <w:rPr>
                <w:sz w:val="20"/>
                <w:szCs w:val="20"/>
                <w:color w:val="auto"/>
              </w:rPr>
            </w:pPr>
            <w:r>
              <w:rPr>
                <w:rFonts w:ascii="Times New Roman" w:cs="Times New Roman" w:eastAsia="Times New Roman" w:hAnsi="Times New Roman"/>
                <w:sz w:val="18"/>
                <w:szCs w:val="18"/>
                <w:color w:val="auto"/>
              </w:rPr>
              <w:t>Unrealized</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Unrealized</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Unrealized</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36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Loss</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Loss</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Fair Value</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Loss</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temporarily impaired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77,325</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(16,924)</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78,964</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(8,786)</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temporarily impaired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88,274</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(12,641)</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90,317</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144 and 147 available-for-sale securities in unrealized loss positions at September 30, 2026 and December 31, 2025, respectively. As of September 30, 2026, the investment portfolio included 140 investment securities that had been in a continuous loss position for twelve months or more and four investment securities that had been in a loss position for less than twelve months.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one held-to-maturity security in a continuous unrealized loss position at both September 30, 2026 and December 31, 2025, which at December 31, 2025 had been in a continuous loss position for more than twelve months.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Obligations issued or guaranteed by government agencies such as the Government National Mortgage Association (the “GNMA”) and the SBA, or GSEs under conservatorship such as the FNMA and the FHLMC, are guaranteed or sponsored by agencies of the U.S. government and have strong credit profiles. The Company therefore expects to receive all contractual interest payments on time and believes the risk of credit losses on these securities is remote.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9" w:name="page20"/>
    <w:bookmarkEnd w:id="19"/>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investment in obligations of states and political subdivisions is deemed credit worthy after management’s comprehensive analysis of the issuers’ latest financial information, credit ratings by major credit agencies, and/or credit enhancements.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Non-Marketable Securities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FHLB capital stock</w:t>
      </w:r>
      <w:r>
        <w:rPr>
          <w:rFonts w:ascii="Times New Roman" w:cs="Times New Roman" w:eastAsia="Times New Roman" w:hAnsi="Times New Roman"/>
          <w:sz w:val="18"/>
          <w:szCs w:val="18"/>
          <w:color w:val="auto"/>
        </w:rPr>
        <w:t>: As a member of the FHLB, the Company is required to maintain a minimum investment in FHLB capital stock determined by the board of directors of the FHLB. The minimum investment requirements can increase in the event the Company increases its total asset size or borrowings with the FHLB. Shares cannot be purchased or sold except between the FHLB and its members at the $100 per share par value. The Company held $15.0 million of FHLB stock at both September 30, 2026 and December 31, 2025. The carrying amounts of these investments are reasonable estimates of fair value because the securities are restricted to member banks and do not have a readily determinable market value. Based on management’s analysis of the FHLB’s financial condition and certain qualitative factors, management determined that the FHLB stock was not impaired at September 30, 2026 or December 31, 2025.</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Equity investments</w:t>
      </w:r>
      <w:r>
        <w:rPr>
          <w:rFonts w:ascii="Times New Roman" w:cs="Times New Roman" w:eastAsia="Times New Roman" w:hAnsi="Times New Roman"/>
          <w:sz w:val="18"/>
          <w:szCs w:val="18"/>
          <w:color w:val="auto"/>
        </w:rPr>
        <w:t>: The Company is a limited partner and has committed to and is invested in a limited number of venture-backed capital funds and accounts for these investments under the equity method of accounting, as its ownership is greater than 3% of each fund. The Company held $15.6 million and $12.1 million of equity investments at September 30, 2026 and December 31, 2025, respectively, included in “Interest receivable and other assets” in the unaudited consolidated balance sheets. The Company’s share of earnings and losses from these investments is included in “</w:t>
      </w:r>
      <w:r>
        <w:rPr>
          <w:rFonts w:ascii="Times New Roman" w:cs="Times New Roman" w:eastAsia="Times New Roman" w:hAnsi="Times New Roman"/>
          <w:sz w:val="17"/>
          <w:szCs w:val="17"/>
          <w:color w:val="auto"/>
        </w:rPr>
        <w:t>Other</w:t>
      </w:r>
      <w:r>
        <w:rPr>
          <w:rFonts w:ascii="Times New Roman" w:cs="Times New Roman" w:eastAsia="Times New Roman" w:hAnsi="Times New Roman"/>
          <w:sz w:val="18"/>
          <w:szCs w:val="18"/>
          <w:color w:val="auto"/>
        </w:rPr>
        <w:t xml:space="preserve"> non-interest income” in the consolidated statements of income. The Company’s share of net earnings from these investments was immaterial for the nine months ended September 30, 2026. The Company’s share of net earnings from these investments was $0.8 million for the nine months ended September 30, 2025. No individual investment is material to the Company’s consolidated financial statements. Based on management’s analysis of each fund’s financial condition and certain qualitative factors, management determined that the equity investments were not impaired at September 30, 2026 and 2025.</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4: Loans and Allowance for Credit Losses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loan portfolio is its largest class of earning assets and typically provides higher yields than other types of earning assets. Associated with the higher yields is an inherent amount of credit risk which the Company attempts to mitigate through strong underwriting practices. Table 4.1 presents the balance of each major product type within the Company’s portfolio as of the dates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Table 4.1: Loans Outstanding</w:t>
            </w:r>
          </w:p>
        </w:tc>
        <w:tc>
          <w:tcPr>
            <w:tcW w:w="49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3"/>
        </w:trPr>
        <w:tc>
          <w:tcPr>
            <w:tcW w:w="20" w:type="dxa"/>
            <w:vAlign w:val="bottom"/>
            <w:tcBorders>
              <w:bottom w:val="single" w:sz="8" w:color="auto"/>
            </w:tcBorders>
          </w:tcPr>
          <w:p>
            <w:pPr>
              <w:spacing w:after="0"/>
              <w:rPr>
                <w:sz w:val="22"/>
                <w:szCs w:val="22"/>
                <w:color w:val="auto"/>
              </w:rPr>
            </w:pPr>
          </w:p>
        </w:tc>
        <w:tc>
          <w:tcPr>
            <w:tcW w:w="7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September 30, 2026</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37"/>
        </w:trPr>
        <w:tc>
          <w:tcPr>
            <w:tcW w:w="20" w:type="dxa"/>
            <w:vAlign w:val="bottom"/>
            <w:shd w:val="clear" w:color="auto" w:fill="CCEEFF"/>
          </w:tcPr>
          <w:p>
            <w:pPr>
              <w:spacing w:after="0"/>
              <w:rPr>
                <w:sz w:val="20"/>
                <w:szCs w:val="20"/>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3,678,924</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3,305,713</w:t>
            </w:r>
          </w:p>
        </w:tc>
      </w:tr>
      <w:tr>
        <w:trPr>
          <w:trHeight w:val="243"/>
        </w:trPr>
        <w:tc>
          <w:tcPr>
            <w:tcW w:w="20" w:type="dxa"/>
            <w:vAlign w:val="bottom"/>
            <w:shd w:val="clear" w:color="auto" w:fill="CCEEFF"/>
          </w:tcPr>
          <w:p>
            <w:pPr>
              <w:spacing w:after="0"/>
              <w:rPr>
                <w:sz w:val="21"/>
                <w:szCs w:val="21"/>
                <w:color w:val="auto"/>
              </w:rPr>
            </w:pPr>
          </w:p>
        </w:tc>
        <w:tc>
          <w:tcPr>
            <w:tcW w:w="70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20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r>
      <w:tr>
        <w:trPr>
          <w:trHeight w:val="243"/>
        </w:trPr>
        <w:tc>
          <w:tcPr>
            <w:tcW w:w="20" w:type="dxa"/>
            <w:vAlign w:val="bottom"/>
          </w:tcPr>
          <w:p>
            <w:pPr>
              <w:spacing w:after="0"/>
              <w:rPr>
                <w:sz w:val="21"/>
                <w:szCs w:val="21"/>
                <w:color w:val="auto"/>
              </w:rPr>
            </w:pPr>
          </w:p>
        </w:tc>
        <w:tc>
          <w:tcPr>
            <w:tcW w:w="7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122,561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96,760</w:t>
            </w:r>
          </w:p>
        </w:tc>
      </w:tr>
      <w:tr>
        <w:trPr>
          <w:trHeight w:val="243"/>
        </w:trPr>
        <w:tc>
          <w:tcPr>
            <w:tcW w:w="20" w:type="dxa"/>
            <w:vAlign w:val="bottom"/>
            <w:shd w:val="clear" w:color="auto" w:fill="CCEEFF"/>
          </w:tcPr>
          <w:p>
            <w:pPr>
              <w:spacing w:after="0"/>
              <w:rPr>
                <w:sz w:val="21"/>
                <w:szCs w:val="21"/>
                <w:color w:val="auto"/>
              </w:rPr>
            </w:pPr>
          </w:p>
        </w:tc>
        <w:tc>
          <w:tcPr>
            <w:tcW w:w="70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0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w:t>
            </w:r>
          </w:p>
        </w:tc>
      </w:tr>
      <w:tr>
        <w:trPr>
          <w:trHeight w:val="243"/>
        </w:trPr>
        <w:tc>
          <w:tcPr>
            <w:tcW w:w="20" w:type="dxa"/>
            <w:vAlign w:val="bottom"/>
          </w:tcPr>
          <w:p>
            <w:pPr>
              <w:spacing w:after="0"/>
              <w:rPr>
                <w:sz w:val="21"/>
                <w:szCs w:val="21"/>
                <w:color w:val="auto"/>
              </w:rPr>
            </w:pPr>
          </w:p>
        </w:tc>
        <w:tc>
          <w:tcPr>
            <w:tcW w:w="7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37,566</w:t>
            </w:r>
          </w:p>
        </w:tc>
      </w:tr>
      <w:tr>
        <w:trPr>
          <w:trHeight w:val="243"/>
        </w:trPr>
        <w:tc>
          <w:tcPr>
            <w:tcW w:w="20" w:type="dxa"/>
            <w:vAlign w:val="bottom"/>
            <w:shd w:val="clear" w:color="auto" w:fill="CCEEFF"/>
          </w:tcPr>
          <w:p>
            <w:pPr>
              <w:spacing w:after="0"/>
              <w:rPr>
                <w:sz w:val="21"/>
                <w:szCs w:val="21"/>
                <w:color w:val="auto"/>
              </w:rPr>
            </w:pPr>
          </w:p>
        </w:tc>
        <w:tc>
          <w:tcPr>
            <w:tcW w:w="70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20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57,027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59,606</w:t>
            </w:r>
          </w:p>
        </w:tc>
      </w:tr>
      <w:tr>
        <w:trPr>
          <w:trHeight w:val="243"/>
        </w:trPr>
        <w:tc>
          <w:tcPr>
            <w:tcW w:w="20" w:type="dxa"/>
            <w:vAlign w:val="bottom"/>
          </w:tcPr>
          <w:p>
            <w:pPr>
              <w:spacing w:after="0"/>
              <w:rPr>
                <w:sz w:val="21"/>
                <w:szCs w:val="21"/>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70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20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313,600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251,736</w:t>
            </w:r>
          </w:p>
        </w:tc>
      </w:tr>
      <w:tr>
        <w:trPr>
          <w:trHeight w:val="243"/>
        </w:trPr>
        <w:tc>
          <w:tcPr>
            <w:tcW w:w="20" w:type="dxa"/>
            <w:vAlign w:val="bottom"/>
          </w:tcPr>
          <w:p>
            <w:pPr>
              <w:spacing w:after="0"/>
              <w:rPr>
                <w:sz w:val="21"/>
                <w:szCs w:val="21"/>
                <w:color w:val="auto"/>
              </w:rPr>
            </w:pPr>
          </w:p>
        </w:tc>
        <w:tc>
          <w:tcPr>
            <w:tcW w:w="7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40,422</w:t>
            </w:r>
          </w:p>
        </w:tc>
      </w:tr>
      <w:tr>
        <w:trPr>
          <w:trHeight w:val="243"/>
        </w:trPr>
        <w:tc>
          <w:tcPr>
            <w:tcW w:w="20" w:type="dxa"/>
            <w:vAlign w:val="bottom"/>
            <w:shd w:val="clear" w:color="auto" w:fill="CCEEFF"/>
          </w:tcPr>
          <w:p>
            <w:pPr>
              <w:spacing w:after="0"/>
              <w:rPr>
                <w:sz w:val="21"/>
                <w:szCs w:val="21"/>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20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425,531</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275,475</w:t>
            </w:r>
          </w:p>
        </w:tc>
      </w:tr>
      <w:tr>
        <w:trPr>
          <w:trHeight w:val="237"/>
        </w:trPr>
        <w:tc>
          <w:tcPr>
            <w:tcW w:w="20" w:type="dxa"/>
            <w:vAlign w:val="bottom"/>
          </w:tcPr>
          <w:p>
            <w:pPr>
              <w:spacing w:after="0"/>
              <w:rPr>
                <w:sz w:val="20"/>
                <w:szCs w:val="20"/>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4,706,393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4,077,019</w:t>
            </w:r>
          </w:p>
        </w:tc>
      </w:tr>
      <w:tr>
        <w:trPr>
          <w:trHeight w:val="243"/>
        </w:trPr>
        <w:tc>
          <w:tcPr>
            <w:tcW w:w="20" w:type="dxa"/>
            <w:vAlign w:val="bottom"/>
            <w:shd w:val="clear" w:color="auto" w:fill="CCEEFF"/>
          </w:tcPr>
          <w:p>
            <w:pPr>
              <w:spacing w:after="0"/>
              <w:rPr>
                <w:sz w:val="21"/>
                <w:szCs w:val="21"/>
                <w:color w:val="auto"/>
              </w:rPr>
            </w:pPr>
          </w:p>
        </w:tc>
        <w:tc>
          <w:tcPr>
            <w:tcW w:w="70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deferred loan fees</w:t>
            </w:r>
          </w:p>
        </w:tc>
        <w:tc>
          <w:tcPr>
            <w:tcW w:w="20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r>
      <w:tr>
        <w:trPr>
          <w:trHeight w:val="237"/>
        </w:trPr>
        <w:tc>
          <w:tcPr>
            <w:tcW w:w="20" w:type="dxa"/>
            <w:vAlign w:val="bottom"/>
          </w:tcPr>
          <w:p>
            <w:pPr>
              <w:spacing w:after="0"/>
              <w:rPr>
                <w:sz w:val="20"/>
                <w:szCs w:val="20"/>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4,704,215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4,074,929</w:t>
            </w:r>
          </w:p>
        </w:tc>
      </w:tr>
      <w:tr>
        <w:trPr>
          <w:trHeight w:val="243"/>
        </w:trPr>
        <w:tc>
          <w:tcPr>
            <w:tcW w:w="20" w:type="dxa"/>
            <w:vAlign w:val="bottom"/>
            <w:shd w:val="clear" w:color="auto" w:fill="CCEEFF"/>
          </w:tcPr>
          <w:p>
            <w:pPr>
              <w:spacing w:after="0"/>
              <w:rPr>
                <w:sz w:val="21"/>
                <w:szCs w:val="21"/>
                <w:color w:val="auto"/>
              </w:rPr>
            </w:pPr>
          </w:p>
        </w:tc>
        <w:tc>
          <w:tcPr>
            <w:tcW w:w="70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(49,390)</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(44,409)</w:t>
            </w:r>
          </w:p>
        </w:tc>
      </w:tr>
      <w:tr>
        <w:trPr>
          <w:trHeight w:val="237"/>
        </w:trPr>
        <w:tc>
          <w:tcPr>
            <w:tcW w:w="20" w:type="dxa"/>
            <w:vAlign w:val="bottom"/>
          </w:tcPr>
          <w:p>
            <w:pPr>
              <w:spacing w:after="0"/>
              <w:rPr>
                <w:sz w:val="20"/>
                <w:szCs w:val="20"/>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held for investment, net of allowance for credit losses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4,654,825</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4,030,520</w:t>
            </w: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Real estate loans</w:t>
      </w:r>
      <w:r>
        <w:rPr>
          <w:rFonts w:ascii="Times New Roman" w:cs="Times New Roman" w:eastAsia="Times New Roman" w:hAnsi="Times New Roman"/>
          <w:sz w:val="18"/>
          <w:szCs w:val="18"/>
          <w:color w:val="auto"/>
        </w:rPr>
        <w:t>: Real estate loans are subject to underwriting standards and processes similar to those for commercial loans. These loans are viewed primarily as cash flow loans and secondarily as loans secured by real estate. Commercial real estate lending typically involves higher loan principal amounts, and the repayment of these loans is generally largely dependent on the successful operation of the property securing the loan or the business conducted on the property securing the loan. Commercial real estate loans may be more adversely affected than other loans by conditions in the real estate market or in the general economy. The properties securing the Company’s commercial real estate portfolio are diverse in terms of type. This diversity helps reduce the Company’s exposure to adverse economic events that affect any single market or industry. Management monitors and evaluates commercial real estate loans based on collateral, geography, and risk grade criteria.</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Construction loans</w:t>
      </w:r>
      <w:r>
        <w:rPr>
          <w:rFonts w:ascii="Times New Roman" w:cs="Times New Roman" w:eastAsia="Times New Roman" w:hAnsi="Times New Roman"/>
          <w:sz w:val="18"/>
          <w:szCs w:val="18"/>
          <w:color w:val="auto"/>
        </w:rPr>
        <w:t>: With respect to construction loans that the Company may originate from time to time, the Company generally requires the borrower to have had an existing relationship with the Company and have a proven record of success. Construction loans may be underwritten utilizing feasibility studies, independent appraisal reviews, sensitivity analysis of absorption and lease rates, and financial analysis of the developers and property owners. Construction loans are generally based upon estimates of costs and value associated with the completed project. These estimates may be inaccurate. Construction loans often involve the disbursement of substantial funds with repayment substantially dependent on the ultimate success of the project. Sources of repayment for these types of loans may be pre-committed permanent loans from approved long-term lenders, sales of developed property, or an interim loan commitment from the Company until permanent financing is obtained. These loans are closely monitored using on-site inspections and are generally considered to have higher risks than other real estate loans due to their ultimate repayment being sensitive to interest rate changes, governmental regulation of real property, general economic conditions, and the availability of long-term financing.</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Residential real estate loans</w:t>
      </w:r>
      <w:r>
        <w:rPr>
          <w:rFonts w:ascii="Times New Roman" w:cs="Times New Roman" w:eastAsia="Times New Roman" w:hAnsi="Times New Roman"/>
          <w:sz w:val="18"/>
          <w:szCs w:val="18"/>
          <w:color w:val="auto"/>
        </w:rPr>
        <w:t>: Residential real estate loans are underwritten based upon the borrower’s income, credit history, and collateral. To monitor and manage residential loan risk, policies and procedures are developed and modified,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as needed. This activity, coupled with relatively small loan amounts that are spread across many individual borrowers, minimizes risk. Underwriting standards for home loans are heavily influenced by statutory requirements, which include, but are not limited to, a maximum loan-to-value percentage, collection remedies, the number of such loans a borrower can have at one time, and documentation requirements.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Farmland loans</w:t>
      </w:r>
      <w:r>
        <w:rPr>
          <w:rFonts w:ascii="Times New Roman" w:cs="Times New Roman" w:eastAsia="Times New Roman" w:hAnsi="Times New Roman"/>
          <w:sz w:val="18"/>
          <w:szCs w:val="18"/>
          <w:color w:val="auto"/>
        </w:rPr>
        <w:t>: Farmland loans are generally made to producers and processors of crops and livestock. Repayment is primarily from the sale of an agricultural product or service. Farmland loans are secured by real property and are susceptible to changes in market demand for specific commodities. This may be exacerbated by, among other things, industry changes, changes in the individual financial capacity of the business owner, general economic conditions, changes in business cycles, and adverse weather conditions.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Commercial loans</w:t>
      </w:r>
      <w:r>
        <w:rPr>
          <w:rFonts w:ascii="Times New Roman" w:cs="Times New Roman" w:eastAsia="Times New Roman" w:hAnsi="Times New Roman"/>
          <w:sz w:val="18"/>
          <w:szCs w:val="18"/>
          <w:color w:val="auto"/>
        </w:rPr>
        <w:t>: Commercial loans are underwritten after evaluating and understanding the borrower’s ability to operate profitably and prudently expand its business. Underwriting standards are designed to promote relationship banking rather than transactional banking. Once it is determined that the borrower’s management possesses sound ethics and solid business acumen, the Company’s management examines current and projected cash flows to determine the ability of the borrower to repay its obligations as agreed. Commercial loans are primarily made based on the identified cash flows of the borrower and secondarily on the underlying collateral provided by the borrower. The cash flows of borrowers, however, may not be as expected, and the collateral securing these loans may fluctuate in value. Most commercial loans are secured by the assets being financed or other business assets such as accounts receivable or inventory and may incorporate a personal guarantee; however, some short-term loans may be made on an unsecured basis. In the case of loans secured by accounts receivable, the availability of funds for the repayment of these loans may be substantially dependent on the ability of the borrower to collect amounts due from its customers.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Consumer loans</w:t>
      </w:r>
      <w:r>
        <w:rPr>
          <w:rFonts w:ascii="Times New Roman" w:cs="Times New Roman" w:eastAsia="Times New Roman" w:hAnsi="Times New Roman"/>
          <w:sz w:val="18"/>
          <w:szCs w:val="18"/>
          <w:color w:val="auto"/>
        </w:rPr>
        <w:t>: The Company purchased consumer loans underwritten utilizing credit scoring analysis to supplement the underwriting process. To monitor and manage consumer loan risk, policies and procedures are developed and modified, as needed. This activity, coupled with relatively small loan amounts that are spread across many individual borrowers, minimizes risk. Underwriting standards for home equity loans are heavily influenced by statutory requirements, which include, but are not limited to, a maximum loan-to-value percentage, collection remedies, the number of such loans a borrower can have at one time, and documentation requirements.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Quality Indicators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established a loan risk rating system to measure and monitor the quality of the loan portfolio. All loans are assigned a risk rating from the inception of the loan until the loan is paid off. The primary loan grades are as follows: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Loans rated pass</w:t>
      </w:r>
      <w:r>
        <w:rPr>
          <w:rFonts w:ascii="Times New Roman" w:cs="Times New Roman" w:eastAsia="Times New Roman" w:hAnsi="Times New Roman"/>
          <w:sz w:val="18"/>
          <w:szCs w:val="18"/>
          <w:color w:val="auto"/>
        </w:rPr>
        <w:t>: These are loans to borrowers with satisfactory financial support, repayment capacity, and credit strength. Borrowers in this category demonstrate fundamentally sound financial positions, repayment capacity, credit history, and management expertise. Loans in this category must have an identifiable and stable source of repayment and meet the Company’s policy regarding debt service coverage ratios. These borrowers are capable of sustaining normal economic, market, or operational setbacks without significant financial impacts and their financial ratios and trends are acceptable. Negative external industry factors are generally not present. The loan may be secured, unsecured, or supported by non-real-estate collateral for which the value is more difficult to determine and/or marketability is more uncertain.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Loans rated watch</w:t>
      </w:r>
      <w:r>
        <w:rPr>
          <w:rFonts w:ascii="Times New Roman" w:cs="Times New Roman" w:eastAsia="Times New Roman" w:hAnsi="Times New Roman"/>
          <w:sz w:val="18"/>
          <w:szCs w:val="18"/>
          <w:color w:val="auto"/>
        </w:rPr>
        <w:t>: These are loans that have developed an element of uncertainty, potentially reflecting deficient loan quality and significant issues, but losses do not appear to be imminent, and the issues may be temporary in nature. The significant issues are typically: (i) a history of losses or events that threaten the borrower’s viability; (ii) a property with significant depreciation and/or marketability concerns; or (iii) poor or deteriorating credit, occasional late payments, and/or limited reserves but the loan is generally kept current. If left uncorrected, these potential weaknesses may result in deterioration of the repayment prospects for the asset or in the Company’s credit position at some future date.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Loans rated special mention</w:t>
      </w:r>
      <w:r>
        <w:rPr>
          <w:rFonts w:ascii="Times New Roman" w:cs="Times New Roman" w:eastAsia="Times New Roman" w:hAnsi="Times New Roman"/>
          <w:sz w:val="18"/>
          <w:szCs w:val="18"/>
          <w:color w:val="auto"/>
        </w:rPr>
        <w:t>: These are loans that exhibit or have an emerging credit weaknesses that warrants management’s close attention but do not yet demonstrate the well-defined weaknesses associated with a substandard classification. Credits in this category may include loans with documentation deficiencies that affect the Company’s legal position, covenant non-compliance expected to be resolved within six months, or other developing concerns that could cause deterioration in the borrower’s financial condition or repayment capacity if not corrected. Special mention is a transitional rating, and credits should generally be upgraded or downgraded within six months unless there is appropriate justification for remaining in this category.</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Loans rated substandard</w:t>
      </w:r>
      <w:r>
        <w:rPr>
          <w:rFonts w:ascii="Times New Roman" w:cs="Times New Roman" w:eastAsia="Times New Roman" w:hAnsi="Times New Roman"/>
          <w:sz w:val="18"/>
          <w:szCs w:val="18"/>
          <w:color w:val="auto"/>
        </w:rPr>
        <w:t>: These are loans which are inadequately protected by the current net worth and paying capacity of the obligor or of the collateral pledged (if any). Loans so classified exhibit a well-defined weakness or weaknesses that jeopardize the liquidation of the debt. Loans are characterized by the distinct possibility that the Company may sustain some loss if the deficiencies are not corrected.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Loans rated doubtful</w:t>
      </w:r>
      <w:r>
        <w:rPr>
          <w:rFonts w:ascii="Times New Roman" w:cs="Times New Roman" w:eastAsia="Times New Roman" w:hAnsi="Times New Roman"/>
          <w:sz w:val="18"/>
          <w:szCs w:val="18"/>
          <w:color w:val="auto"/>
        </w:rPr>
        <w:t>: These are loans for which the collection or liquidation of the entire debt is highly questionable or improbable. Typically, the possibility of loss is extremely high. The losses on these loans are deferred until all pending factors have been addressed.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Table 4.2 presents the amortized cost basis of the Company’s loans by origination year, where origination is defined as the later of origination or renewal date, and credit quality indicator as of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8"/>
          <w:szCs w:val="18"/>
          <w:u w:val="single" w:color="auto"/>
          <w:color w:val="auto"/>
        </w:rPr>
        <w:t>Table 4.2: Loans by Risk Category and Vintage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980" w:type="dxa"/>
            <w:vAlign w:val="bottom"/>
            <w:gridSpan w:val="13"/>
          </w:tcPr>
          <w:p>
            <w:pPr>
              <w:ind w:left="20"/>
              <w:spacing w:after="0"/>
              <w:rPr>
                <w:sz w:val="20"/>
                <w:szCs w:val="20"/>
                <w:color w:val="auto"/>
              </w:rPr>
            </w:pPr>
            <w:r>
              <w:rPr>
                <w:rFonts w:ascii="Times New Roman" w:cs="Times New Roman" w:eastAsia="Times New Roman" w:hAnsi="Times New Roman"/>
                <w:sz w:val="14"/>
                <w:szCs w:val="14"/>
                <w:color w:val="auto"/>
              </w:rPr>
              <w:t>Amortized Cost Basis by Origination Year as of September 30, 2026</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2"/>
                <w:szCs w:val="2"/>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Revolving</w:t>
            </w: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Converted to</w:t>
            </w: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23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w w:val="98"/>
              </w:rPr>
              <w:t>Term</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617,916</w:t>
            </w:r>
          </w:p>
        </w:tc>
        <w:tc>
          <w:tcPr>
            <w:tcW w:w="2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625,754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398,140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254,284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736,938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823,656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18,376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3,475,064</w:t>
            </w:r>
          </w:p>
        </w:tc>
        <w:tc>
          <w:tcPr>
            <w:tcW w:w="0" w:type="dxa"/>
            <w:vAlign w:val="bottom"/>
          </w:tcPr>
          <w:p>
            <w:pPr>
              <w:spacing w:after="0"/>
              <w:rPr>
                <w:sz w:val="1"/>
                <w:szCs w:val="1"/>
                <w:color w:val="auto"/>
              </w:rPr>
            </w:pPr>
          </w:p>
        </w:tc>
      </w:tr>
      <w:tr>
        <w:trPr>
          <w:trHeight w:val="193"/>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66,056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143,746</w:t>
            </w: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38,033</w:t>
            </w:r>
          </w:p>
        </w:tc>
        <w:tc>
          <w:tcPr>
            <w:tcW w:w="0" w:type="dxa"/>
            <w:vAlign w:val="bottom"/>
          </w:tcPr>
          <w:p>
            <w:pPr>
              <w:spacing w:after="0"/>
              <w:rPr>
                <w:sz w:val="1"/>
                <w:szCs w:val="1"/>
                <w:color w:val="auto"/>
              </w:rPr>
            </w:pPr>
          </w:p>
        </w:tc>
      </w:tr>
      <w:tr>
        <w:trPr>
          <w:trHeight w:val="193"/>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19,018</w:t>
            </w:r>
          </w:p>
        </w:tc>
        <w:tc>
          <w:tcPr>
            <w:tcW w:w="0" w:type="dxa"/>
            <w:vAlign w:val="bottom"/>
          </w:tcPr>
          <w:p>
            <w:pPr>
              <w:spacing w:after="0"/>
              <w:rPr>
                <w:sz w:val="1"/>
                <w:szCs w:val="1"/>
                <w:color w:val="auto"/>
              </w:rPr>
            </w:pPr>
          </w:p>
        </w:tc>
      </w:tr>
      <w:tr>
        <w:trPr>
          <w:trHeight w:val="23"/>
        </w:trPr>
        <w:tc>
          <w:tcPr>
            <w:tcW w:w="2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623,419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642,991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401,795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258,444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824,911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904,070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3,675,861</w:t>
            </w:r>
          </w:p>
        </w:tc>
        <w:tc>
          <w:tcPr>
            <w:tcW w:w="0" w:type="dxa"/>
            <w:vAlign w:val="bottom"/>
          </w:tcPr>
          <w:p>
            <w:pPr>
              <w:spacing w:after="0"/>
              <w:rPr>
                <w:sz w:val="1"/>
                <w:szCs w:val="1"/>
                <w:color w:val="auto"/>
              </w:rPr>
            </w:pPr>
          </w:p>
        </w:tc>
      </w:tr>
      <w:tr>
        <w:trPr>
          <w:trHeight w:val="173"/>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2,489</w:t>
            </w:r>
          </w:p>
        </w:tc>
        <w:tc>
          <w:tcPr>
            <w:tcW w:w="0" w:type="dxa"/>
            <w:vAlign w:val="bottom"/>
          </w:tcPr>
          <w:p>
            <w:pPr>
              <w:spacing w:after="0"/>
              <w:rPr>
                <w:sz w:val="1"/>
                <w:szCs w:val="1"/>
                <w:color w:val="auto"/>
              </w:rPr>
            </w:pPr>
          </w:p>
        </w:tc>
      </w:tr>
      <w:tr>
        <w:trPr>
          <w:trHeight w:val="186"/>
        </w:trPr>
        <w:tc>
          <w:tcPr>
            <w:tcW w:w="24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2,489</w:t>
            </w:r>
          </w:p>
        </w:tc>
        <w:tc>
          <w:tcPr>
            <w:tcW w:w="0" w:type="dxa"/>
            <w:vAlign w:val="bottom"/>
          </w:tcPr>
          <w:p>
            <w:pPr>
              <w:spacing w:after="0"/>
              <w:rPr>
                <w:sz w:val="1"/>
                <w:szCs w:val="1"/>
                <w:color w:val="auto"/>
              </w:rPr>
            </w:pPr>
          </w:p>
        </w:tc>
      </w:tr>
      <w:tr>
        <w:trPr>
          <w:trHeight w:val="23"/>
        </w:trPr>
        <w:tc>
          <w:tcPr>
            <w:tcW w:w="2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construction</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44,199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51,748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122,215</w:t>
            </w:r>
          </w:p>
        </w:tc>
        <w:tc>
          <w:tcPr>
            <w:tcW w:w="0" w:type="dxa"/>
            <w:vAlign w:val="bottom"/>
          </w:tcPr>
          <w:p>
            <w:pPr>
              <w:spacing w:after="0"/>
              <w:rPr>
                <w:sz w:val="1"/>
                <w:szCs w:val="1"/>
                <w:color w:val="auto"/>
              </w:rPr>
            </w:pPr>
          </w:p>
        </w:tc>
      </w:tr>
      <w:tr>
        <w:trPr>
          <w:trHeight w:val="23"/>
        </w:trPr>
        <w:tc>
          <w:tcPr>
            <w:tcW w:w="2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44,199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51,748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122,215</w:t>
            </w:r>
          </w:p>
        </w:tc>
        <w:tc>
          <w:tcPr>
            <w:tcW w:w="0" w:type="dxa"/>
            <w:vAlign w:val="bottom"/>
          </w:tcPr>
          <w:p>
            <w:pPr>
              <w:spacing w:after="0"/>
              <w:rPr>
                <w:sz w:val="1"/>
                <w:szCs w:val="1"/>
                <w:color w:val="auto"/>
              </w:rPr>
            </w:pPr>
          </w:p>
        </w:tc>
      </w:tr>
      <w:tr>
        <w:trPr>
          <w:trHeight w:val="173"/>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25,509</w:t>
            </w:r>
          </w:p>
        </w:tc>
        <w:tc>
          <w:tcPr>
            <w:tcW w:w="0" w:type="dxa"/>
            <w:vAlign w:val="bottom"/>
          </w:tcPr>
          <w:p>
            <w:pPr>
              <w:spacing w:after="0"/>
              <w:rPr>
                <w:sz w:val="1"/>
                <w:szCs w:val="1"/>
                <w:color w:val="auto"/>
              </w:rPr>
            </w:pPr>
          </w:p>
        </w:tc>
      </w:tr>
      <w:tr>
        <w:trPr>
          <w:trHeight w:val="186"/>
        </w:trPr>
        <w:tc>
          <w:tcPr>
            <w:tcW w:w="24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5,959</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19,550</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25,509</w:t>
            </w:r>
          </w:p>
        </w:tc>
        <w:tc>
          <w:tcPr>
            <w:tcW w:w="0" w:type="dxa"/>
            <w:vAlign w:val="bottom"/>
          </w:tcPr>
          <w:p>
            <w:pPr>
              <w:spacing w:after="0"/>
              <w:rPr>
                <w:sz w:val="1"/>
                <w:szCs w:val="1"/>
                <w:color w:val="auto"/>
              </w:rPr>
            </w:pPr>
          </w:p>
        </w:tc>
      </w:tr>
      <w:tr>
        <w:trPr>
          <w:trHeight w:val="23"/>
        </w:trPr>
        <w:tc>
          <w:tcPr>
            <w:tcW w:w="2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Residential</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41,560</w:t>
            </w:r>
          </w:p>
        </w:tc>
        <w:tc>
          <w:tcPr>
            <w:tcW w:w="0" w:type="dxa"/>
            <w:vAlign w:val="bottom"/>
          </w:tcPr>
          <w:p>
            <w:pPr>
              <w:spacing w:after="0"/>
              <w:rPr>
                <w:sz w:val="1"/>
                <w:szCs w:val="1"/>
                <w:color w:val="auto"/>
              </w:rPr>
            </w:pPr>
          </w:p>
        </w:tc>
      </w:tr>
      <w:tr>
        <w:trPr>
          <w:trHeight w:val="23"/>
        </w:trPr>
        <w:tc>
          <w:tcPr>
            <w:tcW w:w="2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41,560</w:t>
            </w:r>
          </w:p>
        </w:tc>
        <w:tc>
          <w:tcPr>
            <w:tcW w:w="0" w:type="dxa"/>
            <w:vAlign w:val="bottom"/>
          </w:tcPr>
          <w:p>
            <w:pPr>
              <w:spacing w:after="0"/>
              <w:rPr>
                <w:sz w:val="1"/>
                <w:szCs w:val="1"/>
                <w:color w:val="auto"/>
              </w:rPr>
            </w:pPr>
          </w:p>
        </w:tc>
      </w:tr>
      <w:tr>
        <w:trPr>
          <w:trHeight w:val="173"/>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Farmland</w:t>
            </w: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25,744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56,431</w:t>
            </w:r>
          </w:p>
        </w:tc>
        <w:tc>
          <w:tcPr>
            <w:tcW w:w="0" w:type="dxa"/>
            <w:vAlign w:val="bottom"/>
          </w:tcPr>
          <w:p>
            <w:pPr>
              <w:spacing w:after="0"/>
              <w:rPr>
                <w:sz w:val="1"/>
                <w:szCs w:val="1"/>
                <w:color w:val="auto"/>
              </w:rPr>
            </w:pPr>
          </w:p>
        </w:tc>
      </w:tr>
      <w:tr>
        <w:trPr>
          <w:trHeight w:val="193"/>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0" w:type="dxa"/>
            <w:vAlign w:val="bottom"/>
          </w:tcPr>
          <w:p>
            <w:pPr>
              <w:spacing w:after="0"/>
              <w:rPr>
                <w:sz w:val="1"/>
                <w:szCs w:val="1"/>
                <w:color w:val="auto"/>
              </w:rPr>
            </w:pPr>
          </w:p>
        </w:tc>
      </w:tr>
      <w:tr>
        <w:trPr>
          <w:trHeight w:val="23"/>
        </w:trPr>
        <w:tc>
          <w:tcPr>
            <w:tcW w:w="2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4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26,316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57,003</w:t>
            </w:r>
          </w:p>
        </w:tc>
        <w:tc>
          <w:tcPr>
            <w:tcW w:w="0" w:type="dxa"/>
            <w:vAlign w:val="bottom"/>
          </w:tcPr>
          <w:p>
            <w:pPr>
              <w:spacing w:after="0"/>
              <w:rPr>
                <w:sz w:val="1"/>
                <w:szCs w:val="1"/>
                <w:color w:val="auto"/>
              </w:rPr>
            </w:pPr>
          </w:p>
        </w:tc>
      </w:tr>
      <w:tr>
        <w:trPr>
          <w:trHeight w:val="17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Secured</w:t>
            </w: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52,535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303,077</w:t>
            </w: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2,671</w:t>
            </w:r>
          </w:p>
        </w:tc>
        <w:tc>
          <w:tcPr>
            <w:tcW w:w="0" w:type="dxa"/>
            <w:vAlign w:val="bottom"/>
          </w:tcPr>
          <w:p>
            <w:pPr>
              <w:spacing w:after="0"/>
              <w:rPr>
                <w:sz w:val="1"/>
                <w:szCs w:val="1"/>
                <w:color w:val="auto"/>
              </w:rPr>
            </w:pPr>
          </w:p>
        </w:tc>
      </w:tr>
      <w:tr>
        <w:trPr>
          <w:trHeight w:val="193"/>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7,998</w:t>
            </w: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0" w:type="dxa"/>
            <w:vAlign w:val="bottom"/>
          </w:tcPr>
          <w:p>
            <w:pPr>
              <w:spacing w:after="0"/>
              <w:rPr>
                <w:sz w:val="1"/>
                <w:szCs w:val="1"/>
                <w:color w:val="auto"/>
              </w:rPr>
            </w:pPr>
          </w:p>
        </w:tc>
      </w:tr>
      <w:tr>
        <w:trPr>
          <w:trHeight w:val="186"/>
        </w:trPr>
        <w:tc>
          <w:tcPr>
            <w:tcW w:w="24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29,446</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53,165</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20,342</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13,368</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19,514</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19,188</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159,422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314,757</w:t>
            </w:r>
          </w:p>
        </w:tc>
        <w:tc>
          <w:tcPr>
            <w:tcW w:w="0" w:type="dxa"/>
            <w:vAlign w:val="bottom"/>
          </w:tcPr>
          <w:p>
            <w:pPr>
              <w:spacing w:after="0"/>
              <w:rPr>
                <w:sz w:val="1"/>
                <w:szCs w:val="1"/>
                <w:color w:val="auto"/>
              </w:rPr>
            </w:pPr>
          </w:p>
        </w:tc>
      </w:tr>
      <w:tr>
        <w:trPr>
          <w:trHeight w:val="23"/>
        </w:trPr>
        <w:tc>
          <w:tcPr>
            <w:tcW w:w="2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Unsecured</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36,692</w:t>
            </w: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2,503</w:t>
            </w:r>
          </w:p>
        </w:tc>
        <w:tc>
          <w:tcPr>
            <w:tcW w:w="0" w:type="dxa"/>
            <w:vAlign w:val="bottom"/>
          </w:tcPr>
          <w:p>
            <w:pPr>
              <w:spacing w:after="0"/>
              <w:rPr>
                <w:sz w:val="1"/>
                <w:szCs w:val="1"/>
                <w:color w:val="auto"/>
              </w:rPr>
            </w:pPr>
          </w:p>
        </w:tc>
      </w:tr>
      <w:tr>
        <w:trPr>
          <w:trHeight w:val="186"/>
        </w:trPr>
        <w:tc>
          <w:tcPr>
            <w:tcW w:w="24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4,699</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11,378</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6,486</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1,745</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3,126</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10,975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39,195</w:t>
            </w:r>
          </w:p>
        </w:tc>
        <w:tc>
          <w:tcPr>
            <w:tcW w:w="0" w:type="dxa"/>
            <w:vAlign w:val="bottom"/>
          </w:tcPr>
          <w:p>
            <w:pPr>
              <w:spacing w:after="0"/>
              <w:rPr>
                <w:sz w:val="1"/>
                <w:szCs w:val="1"/>
                <w:color w:val="auto"/>
              </w:rPr>
            </w:pPr>
          </w:p>
        </w:tc>
      </w:tr>
      <w:tr>
        <w:trPr>
          <w:trHeight w:val="23"/>
        </w:trPr>
        <w:tc>
          <w:tcPr>
            <w:tcW w:w="2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 and other</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211,632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65,818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126,656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425,623</w:t>
            </w: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6"/>
        </w:trPr>
        <w:tc>
          <w:tcPr>
            <w:tcW w:w="24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211,632</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65,818</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126,656</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14,902</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3,326</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3,186</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425,626</w:t>
            </w:r>
          </w:p>
        </w:tc>
        <w:tc>
          <w:tcPr>
            <w:tcW w:w="0" w:type="dxa"/>
            <w:vAlign w:val="bottom"/>
          </w:tcPr>
          <w:p>
            <w:pPr>
              <w:spacing w:after="0"/>
              <w:rPr>
                <w:sz w:val="1"/>
                <w:szCs w:val="1"/>
                <w:color w:val="auto"/>
              </w:rPr>
            </w:pPr>
          </w:p>
        </w:tc>
      </w:tr>
      <w:tr>
        <w:trPr>
          <w:trHeight w:val="23"/>
        </w:trPr>
        <w:tc>
          <w:tcPr>
            <w:tcW w:w="2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4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907,812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861,184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571,124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345,597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857,133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965,544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195,509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4,704,215</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loans held for investment by risk category</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902,309</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843,317</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567,184</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340,915</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762,261</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881,902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190,460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4,488,660</w:t>
            </w: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66,898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55,493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146,989</w:t>
            </w:r>
          </w:p>
        </w:tc>
        <w:tc>
          <w:tcPr>
            <w:tcW w:w="0" w:type="dxa"/>
            <w:vAlign w:val="bottom"/>
          </w:tcPr>
          <w:p>
            <w:pPr>
              <w:spacing w:after="0"/>
              <w:rPr>
                <w:sz w:val="1"/>
                <w:szCs w:val="1"/>
                <w:color w:val="auto"/>
              </w:rPr>
            </w:pPr>
          </w:p>
        </w:tc>
      </w:tr>
      <w:tr>
        <w:trPr>
          <w:trHeight w:val="193"/>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48,534</w:t>
            </w: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20,032</w:t>
            </w:r>
          </w:p>
        </w:tc>
        <w:tc>
          <w:tcPr>
            <w:tcW w:w="0" w:type="dxa"/>
            <w:vAlign w:val="bottom"/>
          </w:tcPr>
          <w:p>
            <w:pPr>
              <w:spacing w:after="0"/>
              <w:rPr>
                <w:sz w:val="1"/>
                <w:szCs w:val="1"/>
                <w:color w:val="auto"/>
              </w:rPr>
            </w:pPr>
          </w:p>
        </w:tc>
      </w:tr>
      <w:tr>
        <w:trPr>
          <w:trHeight w:val="210"/>
        </w:trPr>
        <w:tc>
          <w:tcPr>
            <w:tcW w:w="24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907,812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861,184</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571,124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345,597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857,133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965,544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195,509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4,704,215</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24" w:name="page25"/>
    <w:bookmarkEnd w:id="24"/>
    <w:p>
      <w:pPr>
        <w:ind w:left="20"/>
        <w:spacing w:after="0"/>
        <w:rPr>
          <w:sz w:val="20"/>
          <w:szCs w:val="20"/>
          <w:color w:val="auto"/>
        </w:rPr>
      </w:pPr>
      <w:r>
        <w:rPr>
          <w:rFonts w:ascii="Times New Roman" w:cs="Times New Roman" w:eastAsia="Times New Roman" w:hAnsi="Times New Roman"/>
          <w:sz w:val="18"/>
          <w:szCs w:val="18"/>
          <w:u w:val="single" w:color="auto"/>
          <w:color w:val="auto"/>
        </w:rPr>
        <w:t>Table 4.2: Loans by Risk Category and Vintage (continued)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980" w:type="dxa"/>
            <w:vAlign w:val="bottom"/>
            <w:gridSpan w:val="13"/>
          </w:tcPr>
          <w:p>
            <w:pPr>
              <w:ind w:left="40"/>
              <w:spacing w:after="0"/>
              <w:rPr>
                <w:sz w:val="20"/>
                <w:szCs w:val="20"/>
                <w:color w:val="auto"/>
              </w:rPr>
            </w:pPr>
            <w:r>
              <w:rPr>
                <w:rFonts w:ascii="Times New Roman" w:cs="Times New Roman" w:eastAsia="Times New Roman" w:hAnsi="Times New Roman"/>
                <w:sz w:val="14"/>
                <w:szCs w:val="14"/>
                <w:color w:val="auto"/>
              </w:rPr>
              <w:t>Amortized Cost Basis by Origination Year as of December 31, 2025</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2"/>
                <w:szCs w:val="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Revolving</w:t>
            </w: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3"/>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Converted to</w:t>
            </w: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23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Term</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670,067</w:t>
            </w:r>
          </w:p>
        </w:tc>
        <w:tc>
          <w:tcPr>
            <w:tcW w:w="2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414,556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282,656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831,032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573,695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384,650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3,170,205</w:t>
            </w:r>
          </w:p>
        </w:tc>
        <w:tc>
          <w:tcPr>
            <w:tcW w:w="0" w:type="dxa"/>
            <w:vAlign w:val="bottom"/>
          </w:tcPr>
          <w:p>
            <w:pPr>
              <w:spacing w:after="0"/>
              <w:rPr>
                <w:sz w:val="1"/>
                <w:szCs w:val="1"/>
                <w:color w:val="auto"/>
              </w:rPr>
            </w:pPr>
          </w:p>
        </w:tc>
      </w:tr>
      <w:tr>
        <w:trPr>
          <w:trHeight w:val="193"/>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76,130</w:t>
            </w: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35,105</w:t>
            </w:r>
          </w:p>
        </w:tc>
        <w:tc>
          <w:tcPr>
            <w:tcW w:w="0" w:type="dxa"/>
            <w:vAlign w:val="bottom"/>
          </w:tcPr>
          <w:p>
            <w:pPr>
              <w:spacing w:after="0"/>
              <w:rPr>
                <w:sz w:val="1"/>
                <w:szCs w:val="1"/>
                <w:color w:val="auto"/>
              </w:rPr>
            </w:pPr>
          </w:p>
        </w:tc>
      </w:tr>
      <w:tr>
        <w:trPr>
          <w:trHeight w:val="193"/>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21,321</w:t>
            </w:r>
          </w:p>
        </w:tc>
        <w:tc>
          <w:tcPr>
            <w:tcW w:w="0" w:type="dxa"/>
            <w:vAlign w:val="bottom"/>
          </w:tcPr>
          <w:p>
            <w:pPr>
              <w:spacing w:after="0"/>
              <w:rPr>
                <w:sz w:val="1"/>
                <w:szCs w:val="1"/>
                <w:color w:val="auto"/>
              </w:rPr>
            </w:pPr>
          </w:p>
        </w:tc>
      </w:tr>
      <w:tr>
        <w:trPr>
          <w:trHeight w:val="23"/>
        </w:trPr>
        <w:tc>
          <w:tcPr>
            <w:tcW w:w="2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4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671,311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414,556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287,752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869,497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600,570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443,720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3,302,761</w:t>
            </w:r>
          </w:p>
        </w:tc>
        <w:tc>
          <w:tcPr>
            <w:tcW w:w="0" w:type="dxa"/>
            <w:vAlign w:val="bottom"/>
          </w:tcPr>
          <w:p>
            <w:pPr>
              <w:spacing w:after="0"/>
              <w:rPr>
                <w:sz w:val="1"/>
                <w:szCs w:val="1"/>
                <w:color w:val="auto"/>
              </w:rPr>
            </w:pPr>
          </w:p>
        </w:tc>
      </w:tr>
      <w:tr>
        <w:trPr>
          <w:trHeight w:val="173"/>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0" w:type="dxa"/>
            <w:vAlign w:val="bottom"/>
          </w:tcPr>
          <w:p>
            <w:pPr>
              <w:spacing w:after="0"/>
              <w:rPr>
                <w:sz w:val="1"/>
                <w:szCs w:val="1"/>
                <w:color w:val="auto"/>
              </w:rPr>
            </w:pPr>
          </w:p>
        </w:tc>
      </w:tr>
      <w:tr>
        <w:trPr>
          <w:trHeight w:val="186"/>
        </w:trPr>
        <w:tc>
          <w:tcPr>
            <w:tcW w:w="24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0" w:type="dxa"/>
            <w:vAlign w:val="bottom"/>
          </w:tcPr>
          <w:p>
            <w:pPr>
              <w:spacing w:after="0"/>
              <w:rPr>
                <w:sz w:val="1"/>
                <w:szCs w:val="1"/>
                <w:color w:val="auto"/>
              </w:rPr>
            </w:pPr>
          </w:p>
        </w:tc>
      </w:tr>
      <w:tr>
        <w:trPr>
          <w:trHeight w:val="23"/>
        </w:trPr>
        <w:tc>
          <w:tcPr>
            <w:tcW w:w="2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construction</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81,532</w:t>
            </w: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14,891</w:t>
            </w:r>
          </w:p>
        </w:tc>
        <w:tc>
          <w:tcPr>
            <w:tcW w:w="0" w:type="dxa"/>
            <w:vAlign w:val="bottom"/>
          </w:tcPr>
          <w:p>
            <w:pPr>
              <w:spacing w:after="0"/>
              <w:rPr>
                <w:sz w:val="1"/>
                <w:szCs w:val="1"/>
                <w:color w:val="auto"/>
              </w:rPr>
            </w:pPr>
          </w:p>
        </w:tc>
      </w:tr>
      <w:tr>
        <w:trPr>
          <w:trHeight w:val="186"/>
        </w:trPr>
        <w:tc>
          <w:tcPr>
            <w:tcW w:w="24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19,160</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26,583</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50,158</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96,423</w:t>
            </w:r>
          </w:p>
        </w:tc>
        <w:tc>
          <w:tcPr>
            <w:tcW w:w="0" w:type="dxa"/>
            <w:vAlign w:val="bottom"/>
          </w:tcPr>
          <w:p>
            <w:pPr>
              <w:spacing w:after="0"/>
              <w:rPr>
                <w:sz w:val="1"/>
                <w:szCs w:val="1"/>
                <w:color w:val="auto"/>
              </w:rPr>
            </w:pPr>
          </w:p>
        </w:tc>
      </w:tr>
      <w:tr>
        <w:trPr>
          <w:trHeight w:val="23"/>
        </w:trPr>
        <w:tc>
          <w:tcPr>
            <w:tcW w:w="2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8,341</w:t>
            </w:r>
          </w:p>
        </w:tc>
        <w:tc>
          <w:tcPr>
            <w:tcW w:w="0" w:type="dxa"/>
            <w:vAlign w:val="bottom"/>
          </w:tcPr>
          <w:p>
            <w:pPr>
              <w:spacing w:after="0"/>
              <w:rPr>
                <w:sz w:val="1"/>
                <w:szCs w:val="1"/>
                <w:color w:val="auto"/>
              </w:rPr>
            </w:pPr>
          </w:p>
        </w:tc>
      </w:tr>
      <w:tr>
        <w:trPr>
          <w:trHeight w:val="23"/>
        </w:trPr>
        <w:tc>
          <w:tcPr>
            <w:tcW w:w="2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8,341</w:t>
            </w:r>
          </w:p>
        </w:tc>
        <w:tc>
          <w:tcPr>
            <w:tcW w:w="0" w:type="dxa"/>
            <w:vAlign w:val="bottom"/>
          </w:tcPr>
          <w:p>
            <w:pPr>
              <w:spacing w:after="0"/>
              <w:rPr>
                <w:sz w:val="1"/>
                <w:szCs w:val="1"/>
                <w:color w:val="auto"/>
              </w:rPr>
            </w:pPr>
          </w:p>
        </w:tc>
      </w:tr>
      <w:tr>
        <w:trPr>
          <w:trHeight w:val="173"/>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Residential</w:t>
            </w: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37,600</w:t>
            </w:r>
          </w:p>
        </w:tc>
        <w:tc>
          <w:tcPr>
            <w:tcW w:w="0" w:type="dxa"/>
            <w:vAlign w:val="bottom"/>
          </w:tcPr>
          <w:p>
            <w:pPr>
              <w:spacing w:after="0"/>
              <w:rPr>
                <w:sz w:val="1"/>
                <w:szCs w:val="1"/>
                <w:color w:val="auto"/>
              </w:rPr>
            </w:pPr>
          </w:p>
        </w:tc>
      </w:tr>
      <w:tr>
        <w:trPr>
          <w:trHeight w:val="186"/>
        </w:trPr>
        <w:tc>
          <w:tcPr>
            <w:tcW w:w="24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6,285</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5,923</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4,718</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2,784</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8,883</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7,548</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37,600</w:t>
            </w:r>
          </w:p>
        </w:tc>
        <w:tc>
          <w:tcPr>
            <w:tcW w:w="0" w:type="dxa"/>
            <w:vAlign w:val="bottom"/>
          </w:tcPr>
          <w:p>
            <w:pPr>
              <w:spacing w:after="0"/>
              <w:rPr>
                <w:sz w:val="1"/>
                <w:szCs w:val="1"/>
                <w:color w:val="auto"/>
              </w:rPr>
            </w:pPr>
          </w:p>
        </w:tc>
      </w:tr>
      <w:tr>
        <w:trPr>
          <w:trHeight w:val="23"/>
        </w:trPr>
        <w:tc>
          <w:tcPr>
            <w:tcW w:w="2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Farmland</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58,499</w:t>
            </w: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0" w:type="dxa"/>
            <w:vAlign w:val="bottom"/>
          </w:tcPr>
          <w:p>
            <w:pPr>
              <w:spacing w:after="0"/>
              <w:rPr>
                <w:sz w:val="1"/>
                <w:szCs w:val="1"/>
                <w:color w:val="auto"/>
              </w:rPr>
            </w:pPr>
          </w:p>
        </w:tc>
      </w:tr>
      <w:tr>
        <w:trPr>
          <w:trHeight w:val="193"/>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3"/>
        </w:trPr>
        <w:tc>
          <w:tcPr>
            <w:tcW w:w="2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4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21,908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59,584</w:t>
            </w:r>
          </w:p>
        </w:tc>
        <w:tc>
          <w:tcPr>
            <w:tcW w:w="0" w:type="dxa"/>
            <w:vAlign w:val="bottom"/>
          </w:tcPr>
          <w:p>
            <w:pPr>
              <w:spacing w:after="0"/>
              <w:rPr>
                <w:sz w:val="1"/>
                <w:szCs w:val="1"/>
                <w:color w:val="auto"/>
              </w:rPr>
            </w:pPr>
          </w:p>
        </w:tc>
      </w:tr>
      <w:tr>
        <w:trPr>
          <w:trHeight w:val="17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Secured</w:t>
            </w: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25,960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239,661</w:t>
            </w: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10,277</w:t>
            </w:r>
          </w:p>
        </w:tc>
        <w:tc>
          <w:tcPr>
            <w:tcW w:w="0" w:type="dxa"/>
            <w:vAlign w:val="bottom"/>
          </w:tcPr>
          <w:p>
            <w:pPr>
              <w:spacing w:after="0"/>
              <w:rPr>
                <w:sz w:val="1"/>
                <w:szCs w:val="1"/>
                <w:color w:val="auto"/>
              </w:rPr>
            </w:pPr>
          </w:p>
        </w:tc>
      </w:tr>
      <w:tr>
        <w:trPr>
          <w:trHeight w:val="193"/>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1,910</w:t>
            </w: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0" w:type="dxa"/>
            <w:vAlign w:val="bottom"/>
          </w:tcPr>
          <w:p>
            <w:pPr>
              <w:spacing w:after="0"/>
              <w:rPr>
                <w:sz w:val="1"/>
                <w:szCs w:val="1"/>
                <w:color w:val="auto"/>
              </w:rPr>
            </w:pPr>
          </w:p>
        </w:tc>
      </w:tr>
      <w:tr>
        <w:trPr>
          <w:trHeight w:val="186"/>
        </w:trPr>
        <w:tc>
          <w:tcPr>
            <w:tcW w:w="24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53,457</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26,055</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16,202</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23,171</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8,620</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16,901</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108,399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252,805</w:t>
            </w:r>
          </w:p>
        </w:tc>
        <w:tc>
          <w:tcPr>
            <w:tcW w:w="0" w:type="dxa"/>
            <w:vAlign w:val="bottom"/>
          </w:tcPr>
          <w:p>
            <w:pPr>
              <w:spacing w:after="0"/>
              <w:rPr>
                <w:sz w:val="1"/>
                <w:szCs w:val="1"/>
                <w:color w:val="auto"/>
              </w:rPr>
            </w:pPr>
          </w:p>
        </w:tc>
      </w:tr>
      <w:tr>
        <w:trPr>
          <w:trHeight w:val="23"/>
        </w:trPr>
        <w:tc>
          <w:tcPr>
            <w:tcW w:w="2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Unsecured</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40,453</w:t>
            </w:r>
          </w:p>
        </w:tc>
        <w:tc>
          <w:tcPr>
            <w:tcW w:w="0" w:type="dxa"/>
            <w:vAlign w:val="bottom"/>
          </w:tcPr>
          <w:p>
            <w:pPr>
              <w:spacing w:after="0"/>
              <w:rPr>
                <w:sz w:val="1"/>
                <w:szCs w:val="1"/>
                <w:color w:val="auto"/>
              </w:rPr>
            </w:pPr>
          </w:p>
        </w:tc>
      </w:tr>
      <w:tr>
        <w:trPr>
          <w:trHeight w:val="23"/>
        </w:trPr>
        <w:tc>
          <w:tcPr>
            <w:tcW w:w="2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4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40,453</w:t>
            </w:r>
          </w:p>
        </w:tc>
        <w:tc>
          <w:tcPr>
            <w:tcW w:w="0" w:type="dxa"/>
            <w:vAlign w:val="bottom"/>
          </w:tcPr>
          <w:p>
            <w:pPr>
              <w:spacing w:after="0"/>
              <w:rPr>
                <w:sz w:val="1"/>
                <w:szCs w:val="1"/>
                <w:color w:val="auto"/>
              </w:rPr>
            </w:pPr>
          </w:p>
        </w:tc>
      </w:tr>
      <w:tr>
        <w:trPr>
          <w:trHeight w:val="17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Consumer and other</w:t>
            </w: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72,893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172,130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21,159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275,602</w:t>
            </w:r>
          </w:p>
        </w:tc>
        <w:tc>
          <w:tcPr>
            <w:tcW w:w="0" w:type="dxa"/>
            <w:vAlign w:val="bottom"/>
          </w:tcPr>
          <w:p>
            <w:pPr>
              <w:spacing w:after="0"/>
              <w:rPr>
                <w:sz w:val="1"/>
                <w:szCs w:val="1"/>
                <w:color w:val="auto"/>
              </w:rPr>
            </w:pPr>
          </w:p>
        </w:tc>
      </w:tr>
      <w:tr>
        <w:trPr>
          <w:trHeight w:val="193"/>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3"/>
        </w:trPr>
        <w:tc>
          <w:tcPr>
            <w:tcW w:w="2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4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72,893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172,130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21,159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275,608</w:t>
            </w:r>
          </w:p>
        </w:tc>
        <w:tc>
          <w:tcPr>
            <w:tcW w:w="0" w:type="dxa"/>
            <w:vAlign w:val="bottom"/>
          </w:tcPr>
          <w:p>
            <w:pPr>
              <w:spacing w:after="0"/>
              <w:rPr>
                <w:sz w:val="1"/>
                <w:szCs w:val="1"/>
                <w:color w:val="auto"/>
              </w:rPr>
            </w:pPr>
          </w:p>
        </w:tc>
      </w:tr>
      <w:tr>
        <w:trPr>
          <w:trHeight w:val="209"/>
        </w:trPr>
        <w:tc>
          <w:tcPr>
            <w:tcW w:w="24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864,219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655,065</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384,497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908,364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632,288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493,440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137,056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4,074,929</w:t>
            </w:r>
          </w:p>
        </w:tc>
        <w:tc>
          <w:tcPr>
            <w:tcW w:w="0" w:type="dxa"/>
            <w:vAlign w:val="bottom"/>
          </w:tcPr>
          <w:p>
            <w:pPr>
              <w:spacing w:after="0"/>
              <w:rPr>
                <w:sz w:val="1"/>
                <w:szCs w:val="1"/>
                <w:color w:val="auto"/>
              </w:rPr>
            </w:pPr>
          </w:p>
        </w:tc>
      </w:tr>
      <w:tr>
        <w:trPr>
          <w:trHeight w:val="20"/>
        </w:trPr>
        <w:tc>
          <w:tcPr>
            <w:tcW w:w="2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loans held for investment</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862,735</w:t>
            </w:r>
          </w:p>
        </w:tc>
        <w:tc>
          <w:tcPr>
            <w:tcW w:w="2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639,579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378,456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862,780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603,674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432,646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133,377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3,913,247</w:t>
            </w:r>
          </w:p>
        </w:tc>
        <w:tc>
          <w:tcPr>
            <w:tcW w:w="0" w:type="dxa"/>
            <w:vAlign w:val="bottom"/>
          </w:tcPr>
          <w:p>
            <w:pPr>
              <w:spacing w:after="0"/>
              <w:rPr>
                <w:sz w:val="1"/>
                <w:szCs w:val="1"/>
                <w:color w:val="auto"/>
              </w:rPr>
            </w:pPr>
          </w:p>
        </w:tc>
      </w:tr>
      <w:tr>
        <w:trPr>
          <w:trHeight w:val="192"/>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101,883</w:t>
            </w:r>
          </w:p>
        </w:tc>
        <w:tc>
          <w:tcPr>
            <w:tcW w:w="0" w:type="dxa"/>
            <w:vAlign w:val="bottom"/>
          </w:tcPr>
          <w:p>
            <w:pPr>
              <w:spacing w:after="0"/>
              <w:rPr>
                <w:sz w:val="1"/>
                <w:szCs w:val="1"/>
                <w:color w:val="auto"/>
              </w:rPr>
            </w:pPr>
          </w:p>
        </w:tc>
      </w:tr>
      <w:tr>
        <w:trPr>
          <w:trHeight w:val="24"/>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37,515</w:t>
            </w:r>
          </w:p>
        </w:tc>
        <w:tc>
          <w:tcPr>
            <w:tcW w:w="0" w:type="dxa"/>
            <w:vAlign w:val="bottom"/>
          </w:tcPr>
          <w:p>
            <w:pPr>
              <w:spacing w:after="0"/>
              <w:rPr>
                <w:sz w:val="1"/>
                <w:szCs w:val="1"/>
                <w:color w:val="auto"/>
              </w:rPr>
            </w:pPr>
          </w:p>
        </w:tc>
      </w:tr>
      <w:tr>
        <w:trPr>
          <w:trHeight w:val="193"/>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22,284</w:t>
            </w:r>
          </w:p>
        </w:tc>
        <w:tc>
          <w:tcPr>
            <w:tcW w:w="0" w:type="dxa"/>
            <w:vAlign w:val="bottom"/>
          </w:tcPr>
          <w:p>
            <w:pPr>
              <w:spacing w:after="0"/>
              <w:rPr>
                <w:sz w:val="1"/>
                <w:szCs w:val="1"/>
                <w:color w:val="auto"/>
              </w:rPr>
            </w:pPr>
          </w:p>
        </w:tc>
      </w:tr>
      <w:tr>
        <w:trPr>
          <w:trHeight w:val="24"/>
        </w:trPr>
        <w:tc>
          <w:tcPr>
            <w:tcW w:w="2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4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864,219</w:t>
            </w:r>
          </w:p>
        </w:tc>
        <w:tc>
          <w:tcPr>
            <w:tcW w:w="2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655,065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384,497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908,364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632,288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493,440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4,074,929</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jc w:val="both"/>
        <w:spacing w:after="0" w:line="256" w:lineRule="auto"/>
        <w:rPr>
          <w:sz w:val="20"/>
          <w:szCs w:val="20"/>
          <w:color w:val="auto"/>
        </w:rPr>
      </w:pPr>
      <w:r>
        <w:rPr>
          <w:rFonts w:ascii="Times New Roman" w:cs="Times New Roman" w:eastAsia="Times New Roman" w:hAnsi="Times New Roman"/>
          <w:sz w:val="18"/>
          <w:szCs w:val="18"/>
          <w:color w:val="auto"/>
        </w:rPr>
        <w:t>Management regularly reviews the Company’s loans for accuracy of risk grades whenever new information is received. Borrowers are generally required to submit financial information at regular intervals. Typically, commercial borrowers with lines of credit are required to submit financial information with reporting intervals generally ranging from monthly to annually depending on credit size, risk, and complexity. All commercial borrowers with loans exceeding a certain dollar threshold are usually required to submit financials annually for review, which includes business financial statements, rent rolls, property income statements, and tax returns. Management monitors construction loans monthly and reviews consumer loans based on delinquency. Management also reviews loans graded “watch” or worse, regardless of loan type, no less than quarterly.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Table 4.3 presents the Company’s gross charge-offs by origination year and class, where origination is defined as the later of origination or renewal date, for the periods indicated.</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Table 4.3: Gross Charge-Offs by Vintage</w:t>
      </w:r>
    </w:p>
    <w:p>
      <w:pPr>
        <w:spacing w:after="0" w:line="3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Gross Charge-Offs by Origination Year</w:t>
      </w:r>
    </w:p>
    <w:p>
      <w:pPr>
        <w:spacing w:after="0" w:line="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for the nine months ended September 30, 2026</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color w:val="auto"/>
              </w:rPr>
              <w:t>Revolving</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gridSpan w:val="2"/>
            <w:vMerge w:val="restart"/>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2026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8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Converted to</w:t>
            </w: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240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w w:val="98"/>
              </w:rPr>
              <w:t>Term</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5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5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Secured</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4"/>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2,627</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 and other</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4"/>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209"/>
        </w:trPr>
        <w:tc>
          <w:tcPr>
            <w:tcW w:w="250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spacing w:after="0"/>
              <w:rPr>
                <w:sz w:val="18"/>
                <w:szCs w:val="18"/>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2,799</w:t>
            </w: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12"/>
          </w:tcPr>
          <w:p>
            <w:pPr>
              <w:jc w:val="center"/>
              <w:ind w:left="388"/>
              <w:spacing w:after="0"/>
              <w:rPr>
                <w:sz w:val="20"/>
                <w:szCs w:val="20"/>
                <w:color w:val="auto"/>
              </w:rPr>
            </w:pPr>
            <w:r>
              <w:rPr>
                <w:rFonts w:ascii="Times New Roman" w:cs="Times New Roman" w:eastAsia="Times New Roman" w:hAnsi="Times New Roman"/>
                <w:sz w:val="14"/>
                <w:szCs w:val="14"/>
                <w:color w:val="auto"/>
              </w:rPr>
              <w:t>Gross Charge-Offs by Origination Year</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14"/>
          </w:tcPr>
          <w:p>
            <w:pPr>
              <w:jc w:val="center"/>
              <w:ind w:right="300"/>
              <w:spacing w:after="0"/>
              <w:rPr>
                <w:sz w:val="20"/>
                <w:szCs w:val="20"/>
                <w:color w:val="auto"/>
              </w:rPr>
            </w:pPr>
            <w:r>
              <w:rPr>
                <w:rFonts w:ascii="Times New Roman" w:cs="Times New Roman" w:eastAsia="Times New Roman" w:hAnsi="Times New Roman"/>
                <w:sz w:val="14"/>
                <w:szCs w:val="14"/>
                <w:color w:val="auto"/>
              </w:rPr>
              <w:t>for the nine months ended September 30, 2025</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Revolving</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2025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Converted to</w:t>
            </w: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gridSpan w:val="2"/>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w w:val="98"/>
              </w:rPr>
              <w:t>Term</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5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4"/>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5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Secured</w:t>
            </w:r>
          </w:p>
        </w:tc>
        <w:tc>
          <w:tcPr>
            <w:tcW w:w="180" w:type="dxa"/>
            <w:vAlign w:val="bottom"/>
          </w:tcPr>
          <w:p>
            <w:pPr>
              <w:spacing w:after="0"/>
              <w:rPr>
                <w:sz w:val="16"/>
                <w:szCs w:val="16"/>
                <w:color w:val="auto"/>
              </w:rPr>
            </w:pPr>
          </w:p>
        </w:tc>
        <w:tc>
          <w:tcPr>
            <w:tcW w:w="780" w:type="dxa"/>
            <w:vAlign w:val="bottom"/>
            <w:gridSpan w:val="4"/>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2,764</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Unsecured</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4"/>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93"/>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Consumer and other</w:t>
            </w:r>
          </w:p>
        </w:tc>
        <w:tc>
          <w:tcPr>
            <w:tcW w:w="180" w:type="dxa"/>
            <w:vAlign w:val="bottom"/>
          </w:tcPr>
          <w:p>
            <w:pPr>
              <w:spacing w:after="0"/>
              <w:rPr>
                <w:sz w:val="16"/>
                <w:szCs w:val="16"/>
                <w:color w:val="auto"/>
              </w:rPr>
            </w:pPr>
          </w:p>
        </w:tc>
        <w:tc>
          <w:tcPr>
            <w:tcW w:w="780" w:type="dxa"/>
            <w:vAlign w:val="bottom"/>
            <w:gridSpan w:val="4"/>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23"/>
        </w:trPr>
        <w:tc>
          <w:tcPr>
            <w:tcW w:w="2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50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4"/>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3,305</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Table 4.4 shows the age analysis of past due loans by class as of the dates shown.</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Table 4.4: Age Analysis of Past Due Loans by Class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Past Due</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Greater Than</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Total Loans</w:t>
            </w:r>
          </w:p>
        </w:tc>
        <w:tc>
          <w:tcPr>
            <w:tcW w:w="0" w:type="dxa"/>
            <w:vAlign w:val="bottom"/>
          </w:tcPr>
          <w:p>
            <w:pPr>
              <w:spacing w:after="0"/>
              <w:rPr>
                <w:sz w:val="1"/>
                <w:szCs w:val="1"/>
                <w:color w:val="auto"/>
              </w:rPr>
            </w:pPr>
          </w:p>
        </w:tc>
      </w:tr>
      <w:tr>
        <w:trPr>
          <w:trHeight w:val="243"/>
        </w:trPr>
        <w:tc>
          <w:tcPr>
            <w:tcW w:w="35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30-59 Days</w:t>
            </w:r>
          </w:p>
        </w:tc>
        <w:tc>
          <w:tcPr>
            <w:tcW w:w="120" w:type="dxa"/>
            <w:vAlign w:val="bottom"/>
          </w:tcPr>
          <w:p>
            <w:pPr>
              <w:spacing w:after="0"/>
              <w:rPr>
                <w:sz w:val="21"/>
                <w:szCs w:val="21"/>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60-89 Days</w:t>
            </w:r>
          </w:p>
        </w:tc>
        <w:tc>
          <w:tcPr>
            <w:tcW w:w="200" w:type="dxa"/>
            <w:vAlign w:val="bottom"/>
          </w:tcPr>
          <w:p>
            <w:pPr>
              <w:spacing w:after="0"/>
              <w:rPr>
                <w:sz w:val="21"/>
                <w:szCs w:val="21"/>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90 Days</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Past Due</w:t>
            </w:r>
          </w:p>
        </w:tc>
        <w:tc>
          <w:tcPr>
            <w:tcW w:w="260" w:type="dxa"/>
            <w:vAlign w:val="bottom"/>
          </w:tcPr>
          <w:p>
            <w:pPr>
              <w:spacing w:after="0"/>
              <w:rPr>
                <w:sz w:val="21"/>
                <w:szCs w:val="21"/>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tcPr>
          <w:p>
            <w:pPr>
              <w:spacing w:after="0"/>
              <w:rPr>
                <w:sz w:val="21"/>
                <w:szCs w:val="21"/>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Receivable</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3,675,861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3,675,861</w:t>
            </w: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4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122,215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122,215</w:t>
            </w: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4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25,509</w:t>
            </w: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41,560</w:t>
            </w: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14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57,003</w:t>
            </w: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314,757</w:t>
            </w: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39,195</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425,626</w:t>
            </w:r>
          </w:p>
        </w:tc>
        <w:tc>
          <w:tcPr>
            <w:tcW w:w="0" w:type="dxa"/>
            <w:vAlign w:val="bottom"/>
          </w:tcPr>
          <w:p>
            <w:pPr>
              <w:spacing w:after="0"/>
              <w:rPr>
                <w:sz w:val="1"/>
                <w:szCs w:val="1"/>
                <w:color w:val="auto"/>
              </w:rPr>
            </w:pPr>
          </w:p>
        </w:tc>
      </w:tr>
      <w:tr>
        <w:trPr>
          <w:trHeight w:val="261"/>
        </w:trPr>
        <w:tc>
          <w:tcPr>
            <w:tcW w:w="358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4,702,806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4,704,215</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3,301,902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3,302,761</w:t>
            </w: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4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96,423</w:t>
            </w: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4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8,341</w:t>
            </w: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37,600</w:t>
            </w: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14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59,584</w:t>
            </w: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252,805</w:t>
            </w: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40,453</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275,608</w:t>
            </w:r>
          </w:p>
        </w:tc>
        <w:tc>
          <w:tcPr>
            <w:tcW w:w="0" w:type="dxa"/>
            <w:vAlign w:val="bottom"/>
          </w:tcPr>
          <w:p>
            <w:pPr>
              <w:spacing w:after="0"/>
              <w:rPr>
                <w:sz w:val="1"/>
                <w:szCs w:val="1"/>
                <w:color w:val="auto"/>
              </w:rPr>
            </w:pPr>
          </w:p>
        </w:tc>
      </w:tr>
      <w:tr>
        <w:trPr>
          <w:trHeight w:val="261"/>
        </w:trPr>
        <w:tc>
          <w:tcPr>
            <w:tcW w:w="358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4,073,142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4,074,929</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loans greater than 90 days past due and still accruing interest income as of September 30, 2026 or December 31, 2025.</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Table 4.5 presents the amortized cost basis of the Company’s collateral dependent loans by class as of the periods indicated. These loans were individually evaluated for credit loss in accordance with the Company’s allowance for credit losses methodology.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4.5: Collateral Dependent Loans by Class</w:t>
            </w: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04"/>
        </w:trPr>
        <w:tc>
          <w:tcPr>
            <w:tcW w:w="20" w:type="dxa"/>
            <w:vAlign w:val="bottom"/>
            <w:tcBorders>
              <w:bottom w:val="single" w:sz="8" w:color="auto"/>
            </w:tcBorders>
          </w:tcPr>
          <w:p>
            <w:pPr>
              <w:spacing w:after="0"/>
              <w:rPr>
                <w:sz w:val="24"/>
                <w:szCs w:val="24"/>
                <w:color w:val="auto"/>
              </w:rPr>
            </w:pPr>
          </w:p>
        </w:tc>
        <w:tc>
          <w:tcPr>
            <w:tcW w:w="3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5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September 30, 2026</w:t>
            </w:r>
          </w:p>
        </w:tc>
        <w:tc>
          <w:tcPr>
            <w:tcW w:w="2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64"/>
        </w:trPr>
        <w:tc>
          <w:tcPr>
            <w:tcW w:w="20" w:type="dxa"/>
            <w:vAlign w:val="bottom"/>
            <w:shd w:val="clear" w:color="auto" w:fill="CCEEFF"/>
          </w:tcPr>
          <w:p>
            <w:pPr>
              <w:spacing w:after="0"/>
              <w:rPr>
                <w:sz w:val="22"/>
                <w:szCs w:val="22"/>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7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13,033</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r>
      <w:tr>
        <w:trPr>
          <w:trHeight w:val="270"/>
        </w:trPr>
        <w:tc>
          <w:tcPr>
            <w:tcW w:w="20" w:type="dxa"/>
            <w:vAlign w:val="bottom"/>
            <w:shd w:val="clear" w:color="auto" w:fill="CCEEFF"/>
          </w:tcPr>
          <w:p>
            <w:pPr>
              <w:spacing w:after="0"/>
              <w:rPr>
                <w:sz w:val="23"/>
                <w:szCs w:val="23"/>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708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20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708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There were no residential real estate loans in process of foreclosure at September 30, 2026 or December 31, 2025.</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Modifications to loans for borrowers experiencing financial difficulty may include interest rate reductions, principal or interest forgiveness, forbearances, term extensions, and other actions intended to minimize economic loss and to avoid foreclosure or repossession of collateral.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4.6 presents the amortized cost basis of loans by class that were modified due to financial difficulty during the periods indicated.</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Table 4.6: Amortized Cost Basis of Loans Modified due to Financial Difficulty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For the three months ended September 30, 2026</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w w:val="99"/>
              </w:rPr>
              <w:t>For the three months ended September 30, 2025</w:t>
            </w:r>
          </w:p>
        </w:tc>
      </w:tr>
      <w:tr>
        <w:trPr>
          <w:trHeight w:val="218"/>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Total % of Loans</w:t>
            </w: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Total % of Loans</w:t>
            </w:r>
          </w:p>
        </w:tc>
      </w:tr>
      <w:tr>
        <w:trPr>
          <w:trHeight w:val="24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1"/>
                <w:szCs w:val="21"/>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Payment Change</w:t>
            </w:r>
          </w:p>
        </w:tc>
        <w:tc>
          <w:tcPr>
            <w:tcW w:w="2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Receivable</w:t>
            </w:r>
          </w:p>
        </w:tc>
        <w:tc>
          <w:tcPr>
            <w:tcW w:w="140" w:type="dxa"/>
            <w:vAlign w:val="bottom"/>
          </w:tcPr>
          <w:p>
            <w:pPr>
              <w:spacing w:after="0"/>
              <w:rPr>
                <w:sz w:val="21"/>
                <w:szCs w:val="21"/>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Payment Change</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Receivable</w:t>
            </w:r>
          </w:p>
        </w:tc>
      </w:tr>
      <w:tr>
        <w:trPr>
          <w:trHeight w:val="250"/>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Borders>
              <w:top w:val="single" w:sz="8" w:color="auto"/>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6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940" w:type="dxa"/>
            <w:vAlign w:val="bottom"/>
            <w:tcBorders>
              <w:top w:val="single" w:sz="8" w:color="auto"/>
            </w:tcBorders>
            <w:shd w:val="clear" w:color="auto" w:fill="CCEEFF"/>
          </w:tcPr>
          <w:p>
            <w:pPr>
              <w:spacing w:after="0"/>
              <w:rPr>
                <w:sz w:val="21"/>
                <w:szCs w:val="21"/>
                <w:color w:val="auto"/>
              </w:rPr>
            </w:pPr>
          </w:p>
        </w:tc>
      </w:tr>
      <w:tr>
        <w:trPr>
          <w:trHeight w:val="270"/>
        </w:trPr>
        <w:tc>
          <w:tcPr>
            <w:tcW w:w="3540" w:type="dxa"/>
            <w:vAlign w:val="bottom"/>
            <w:tcBorders>
              <w:bottom w:val="single" w:sz="8" w:color="CCEEFF"/>
            </w:tcBorders>
          </w:tcPr>
          <w:p>
            <w:pPr>
              <w:jc w:val="center"/>
              <w:ind w:right="219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80" w:type="dxa"/>
            <w:vAlign w:val="bottom"/>
            <w:tcBorders>
              <w:bottom w:val="single" w:sz="8" w:color="CCEEFF"/>
            </w:tcBorders>
          </w:tcPr>
          <w:p>
            <w:pPr>
              <w:spacing w:after="0"/>
              <w:rPr>
                <w:sz w:val="23"/>
                <w:szCs w:val="23"/>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0.24 %</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7"/>
        </w:trPr>
        <w:tc>
          <w:tcPr>
            <w:tcW w:w="3540" w:type="dxa"/>
            <w:vAlign w:val="bottom"/>
            <w:tcBorders>
              <w:bottom w:val="single" w:sz="8" w:color="CCEEFF"/>
            </w:tcBorders>
            <w:shd w:val="clear" w:color="auto" w:fill="CCEEFF"/>
          </w:tcPr>
          <w:p>
            <w:pPr>
              <w:jc w:val="center"/>
              <w:ind w:right="2170"/>
              <w:spacing w:after="0"/>
              <w:rPr>
                <w:sz w:val="20"/>
                <w:szCs w:val="20"/>
                <w:color w:val="auto"/>
              </w:rPr>
            </w:pPr>
            <w:r>
              <w:rPr>
                <w:rFonts w:ascii="Times New Roman" w:cs="Times New Roman" w:eastAsia="Times New Roman" w:hAnsi="Times New Roman"/>
                <w:sz w:val="18"/>
                <w:szCs w:val="18"/>
                <w:color w:val="auto"/>
                <w:w w:val="94"/>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8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0.24 %</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649"/>
        </w:trPr>
        <w:tc>
          <w:tcPr>
            <w:tcW w:w="3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For the nine months ended September 30, 2026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For the nine months ended September 30, 2025</w:t>
            </w:r>
          </w:p>
        </w:tc>
      </w:tr>
      <w:tr>
        <w:trPr>
          <w:trHeight w:val="218"/>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Total % of Loans</w:t>
            </w: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Total % of Loans</w:t>
            </w:r>
          </w:p>
        </w:tc>
      </w:tr>
      <w:tr>
        <w:trPr>
          <w:trHeight w:val="24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1"/>
                <w:szCs w:val="21"/>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Payment Change</w:t>
            </w:r>
          </w:p>
        </w:tc>
        <w:tc>
          <w:tcPr>
            <w:tcW w:w="2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Receivable</w:t>
            </w:r>
          </w:p>
        </w:tc>
        <w:tc>
          <w:tcPr>
            <w:tcW w:w="140" w:type="dxa"/>
            <w:vAlign w:val="bottom"/>
          </w:tcPr>
          <w:p>
            <w:pPr>
              <w:spacing w:after="0"/>
              <w:rPr>
                <w:sz w:val="21"/>
                <w:szCs w:val="21"/>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Payment Change</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Receivable</w:t>
            </w:r>
          </w:p>
        </w:tc>
      </w:tr>
      <w:tr>
        <w:trPr>
          <w:trHeight w:val="250"/>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Borders>
              <w:top w:val="single" w:sz="8" w:color="auto"/>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6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940" w:type="dxa"/>
            <w:vAlign w:val="bottom"/>
            <w:tcBorders>
              <w:top w:val="single" w:sz="8" w:color="auto"/>
            </w:tcBorders>
            <w:shd w:val="clear" w:color="auto" w:fill="CCEEFF"/>
          </w:tcPr>
          <w:p>
            <w:pPr>
              <w:spacing w:after="0"/>
              <w:rPr>
                <w:sz w:val="21"/>
                <w:szCs w:val="21"/>
                <w:color w:val="auto"/>
              </w:rPr>
            </w:pPr>
          </w:p>
        </w:tc>
      </w:tr>
      <w:tr>
        <w:trPr>
          <w:trHeight w:val="270"/>
        </w:trPr>
        <w:tc>
          <w:tcPr>
            <w:tcW w:w="3540" w:type="dxa"/>
            <w:vAlign w:val="bottom"/>
            <w:tcBorders>
              <w:bottom w:val="single" w:sz="8" w:color="CCEEFF"/>
            </w:tcBorders>
          </w:tcPr>
          <w:p>
            <w:pPr>
              <w:jc w:val="center"/>
              <w:ind w:right="219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80" w:type="dxa"/>
            <w:vAlign w:val="bottom"/>
            <w:tcBorders>
              <w:bottom w:val="single" w:sz="8" w:color="CCEEFF"/>
            </w:tcBorders>
          </w:tcPr>
          <w:p>
            <w:pPr>
              <w:spacing w:after="0"/>
              <w:rPr>
                <w:sz w:val="23"/>
                <w:szCs w:val="23"/>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0.24 %</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Borders>
              <w:bottom w:val="single" w:sz="8" w:color="CCEEFF"/>
            </w:tcBorders>
          </w:tcPr>
          <w:p>
            <w:pPr>
              <w:spacing w:after="0"/>
              <w:rPr>
                <w:sz w:val="23"/>
                <w:szCs w:val="23"/>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0.04 %</w:t>
            </w:r>
          </w:p>
        </w:tc>
      </w:tr>
      <w:tr>
        <w:trPr>
          <w:trHeight w:val="262"/>
        </w:trPr>
        <w:tc>
          <w:tcPr>
            <w:tcW w:w="3540" w:type="dxa"/>
            <w:vAlign w:val="bottom"/>
            <w:tcBorders>
              <w:bottom w:val="single" w:sz="8" w:color="CCEEFF"/>
            </w:tcBorders>
            <w:shd w:val="clear" w:color="auto" w:fill="CCEEFF"/>
          </w:tcPr>
          <w:p>
            <w:pPr>
              <w:jc w:val="center"/>
              <w:ind w:right="2170"/>
              <w:spacing w:after="0"/>
              <w:rPr>
                <w:sz w:val="20"/>
                <w:szCs w:val="20"/>
                <w:color w:val="auto"/>
              </w:rPr>
            </w:pPr>
            <w:r>
              <w:rPr>
                <w:rFonts w:ascii="Times New Roman" w:cs="Times New Roman" w:eastAsia="Times New Roman" w:hAnsi="Times New Roman"/>
                <w:sz w:val="18"/>
                <w:szCs w:val="18"/>
                <w:color w:val="auto"/>
                <w:w w:val="94"/>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8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0.24 %</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0.04 %</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4.7 presents the financial effect of loans by class that were modified due to financial difficulty during the periods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Table 4.7: Financial Effect of Loans Modified due to Financial Difficulty</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Modification Type</w:t>
            </w:r>
          </w:p>
        </w:tc>
        <w:tc>
          <w:tcPr>
            <w:tcW w:w="100" w:type="dxa"/>
            <w:vAlign w:val="bottom"/>
            <w:tcBorders>
              <w:top w:val="single" w:sz="8" w:color="auto"/>
            </w:tcBorders>
            <w:vMerge w:val="restart"/>
          </w:tcPr>
          <w:p>
            <w:pPr>
              <w:spacing w:after="0"/>
              <w:rPr>
                <w:sz w:val="18"/>
                <w:szCs w:val="18"/>
                <w:color w:val="auto"/>
              </w:rPr>
            </w:pPr>
          </w:p>
        </w:tc>
        <w:tc>
          <w:tcPr>
            <w:tcW w:w="1220" w:type="dxa"/>
            <w:vAlign w:val="bottom"/>
            <w:tcBorders>
              <w:top w:val="single" w:sz="8" w:color="auto"/>
            </w:tcBorders>
            <w:vMerge w:val="restart"/>
          </w:tcPr>
          <w:p>
            <w:pPr>
              <w:ind w:left="300"/>
              <w:spacing w:after="0"/>
              <w:rPr>
                <w:sz w:val="20"/>
                <w:szCs w:val="20"/>
                <w:color w:val="auto"/>
              </w:rPr>
            </w:pPr>
            <w:r>
              <w:rPr>
                <w:rFonts w:ascii="Times New Roman" w:cs="Times New Roman" w:eastAsia="Times New Roman" w:hAnsi="Times New Roman"/>
                <w:sz w:val="18"/>
                <w:szCs w:val="18"/>
                <w:color w:val="auto"/>
              </w:rPr>
              <w:t>Loan Type</w:t>
            </w:r>
          </w:p>
        </w:tc>
        <w:tc>
          <w:tcPr>
            <w:tcW w:w="14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Financial Effect</w:t>
            </w: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September 30,</w:t>
            </w:r>
          </w:p>
        </w:tc>
        <w:tc>
          <w:tcPr>
            <w:tcW w:w="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2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None</w:t>
            </w:r>
          </w:p>
        </w:tc>
        <w:tc>
          <w:tcPr>
            <w:tcW w:w="1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Payment Deferment</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7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Deferred the full loan payment for three months</w:t>
            </w: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For the nine months ended</w:t>
            </w:r>
          </w:p>
        </w:tc>
        <w:tc>
          <w:tcPr>
            <w:tcW w:w="40" w:type="dxa"/>
            <w:vAlign w:val="bottom"/>
          </w:tcPr>
          <w:p>
            <w:pPr>
              <w:spacing w:after="0"/>
              <w:rPr>
                <w:sz w:val="24"/>
                <w:szCs w:val="24"/>
                <w:color w:val="auto"/>
              </w:rPr>
            </w:pPr>
          </w:p>
        </w:tc>
        <w:tc>
          <w:tcPr>
            <w:tcW w:w="18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Modification Type</w:t>
            </w:r>
          </w:p>
        </w:tc>
        <w:tc>
          <w:tcPr>
            <w:tcW w:w="100" w:type="dxa"/>
            <w:vAlign w:val="bottom"/>
            <w:vMerge w:val="restart"/>
          </w:tcPr>
          <w:p>
            <w:pPr>
              <w:spacing w:after="0"/>
              <w:rPr>
                <w:sz w:val="24"/>
                <w:szCs w:val="24"/>
                <w:color w:val="auto"/>
              </w:rPr>
            </w:pPr>
          </w:p>
        </w:tc>
        <w:tc>
          <w:tcPr>
            <w:tcW w:w="13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Loan Type</w:t>
            </w:r>
          </w:p>
        </w:tc>
        <w:tc>
          <w:tcPr>
            <w:tcW w:w="100" w:type="dxa"/>
            <w:vAlign w:val="bottom"/>
            <w:vMerge w:val="restart"/>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Financial Effect</w:t>
            </w: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September 30,</w:t>
            </w:r>
          </w:p>
        </w:tc>
        <w:tc>
          <w:tcPr>
            <w:tcW w:w="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gridSpan w:val="2"/>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w:t>
            </w:r>
          </w:p>
        </w:tc>
        <w:tc>
          <w:tcPr>
            <w:tcW w:w="1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57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Reduced the loan payment owed by the borrower for five months and deferred</w:t>
            </w:r>
          </w:p>
        </w:tc>
        <w:tc>
          <w:tcPr>
            <w:tcW w:w="0" w:type="dxa"/>
            <w:vAlign w:val="bottom"/>
          </w:tcPr>
          <w:p>
            <w:pPr>
              <w:spacing w:after="0"/>
              <w:rPr>
                <w:sz w:val="1"/>
                <w:szCs w:val="1"/>
                <w:color w:val="auto"/>
              </w:rPr>
            </w:pPr>
          </w:p>
        </w:tc>
      </w:tr>
      <w:tr>
        <w:trPr>
          <w:trHeight w:val="248"/>
        </w:trPr>
        <w:tc>
          <w:tcPr>
            <w:tcW w:w="2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Change/Deferment</w:t>
            </w:r>
          </w:p>
        </w:tc>
        <w:tc>
          <w:tcPr>
            <w:tcW w:w="1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7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full loan payment for one month</w:t>
            </w: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Payment Deferment</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7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Deferred the full loan payment for three months</w:t>
            </w: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73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Table 4.8 presents the Company’s non-accrual loans by class as of the periods indicated.</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Table 4.8: Non-accrual Loans</w:t>
            </w: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auto"/>
            </w:tcBorders>
          </w:tcPr>
          <w:p>
            <w:pPr>
              <w:spacing w:after="0"/>
              <w:rPr>
                <w:sz w:val="22"/>
                <w:szCs w:val="22"/>
                <w:color w:val="auto"/>
              </w:rPr>
            </w:pPr>
          </w:p>
        </w:tc>
        <w:tc>
          <w:tcPr>
            <w:tcW w:w="2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 w:type="dxa"/>
            <w:vAlign w:val="bottom"/>
            <w:tcBorders>
              <w:top w:val="single" w:sz="8" w:color="auto"/>
              <w:bottom w:val="single" w:sz="8" w:color="auto"/>
            </w:tcBorders>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September 30, 2026</w:t>
            </w:r>
          </w:p>
        </w:tc>
        <w:tc>
          <w:tcPr>
            <w:tcW w:w="2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13,072</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4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21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40" w:type="dxa"/>
            <w:vAlign w:val="bottom"/>
            <w:tcBorders>
              <w:bottom w:val="single" w:sz="8" w:color="CCEEFF"/>
            </w:tcBorders>
          </w:tcPr>
          <w:p>
            <w:pPr>
              <w:spacing w:after="0"/>
              <w:rPr>
                <w:sz w:val="21"/>
                <w:szCs w:val="21"/>
                <w:color w:val="auto"/>
              </w:rPr>
            </w:pPr>
          </w:p>
        </w:tc>
        <w:tc>
          <w:tcPr>
            <w:tcW w:w="18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2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Total non-accrual loans</w:t>
            </w:r>
          </w:p>
        </w:tc>
        <w:tc>
          <w:tcPr>
            <w:tcW w:w="4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80" w:type="dxa"/>
            <w:vAlign w:val="bottom"/>
            <w:gridSpan w:val="3"/>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8"/>
          <w:szCs w:val="18"/>
          <w:color w:val="auto"/>
        </w:rPr>
        <w:t>No interest income was recognized on non-accrual loans in the three and nine months ended September 30, 2026 or September 30, 2025. Non-accrual real estate loans did not have an allowance for credit losses as of September 30, 2026 or December 31, 2025. Non-accrual commercial loans had an immaterial allowance for credit losses as of September 30, 2026 and December 31, 2025. Interest income can be recognized on non-accrual loans in cases where resolution occurs through a sale or full payment is received on the non-accrual loan.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foregone interest income related to non-accrual loans was $179.6 thousand and $328.1 thousand for the three and nine months ended September 30, 2026, as compared to $42.5 thousand and $112.6 thousand for the three and nine months ended September 30,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4.9 discloses activity in the allowance for credit losses for the periods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Table 4.9: Allowance for Credit Losses</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Beginning</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Provision</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Balance</w:t>
            </w:r>
          </w:p>
        </w:tc>
        <w:tc>
          <w:tcPr>
            <w:tcW w:w="200" w:type="dxa"/>
            <w:vAlign w:val="bottom"/>
          </w:tcPr>
          <w:p>
            <w:pPr>
              <w:spacing w:after="0"/>
              <w:rPr>
                <w:sz w:val="21"/>
                <w:szCs w:val="21"/>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tcPr>
          <w:p>
            <w:pPr>
              <w:spacing w:after="0"/>
              <w:rPr>
                <w:sz w:val="21"/>
                <w:szCs w:val="21"/>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Recoveries</w:t>
            </w:r>
          </w:p>
        </w:tc>
        <w:tc>
          <w:tcPr>
            <w:tcW w:w="240" w:type="dxa"/>
            <w:vAlign w:val="bottom"/>
          </w:tcPr>
          <w:p>
            <w:pPr>
              <w:spacing w:after="0"/>
              <w:rPr>
                <w:sz w:val="21"/>
                <w:szCs w:val="21"/>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(Benefit)</w:t>
            </w: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Ending Balance</w:t>
            </w:r>
          </w:p>
        </w:tc>
        <w:tc>
          <w:tcPr>
            <w:tcW w:w="0" w:type="dxa"/>
            <w:vAlign w:val="bottom"/>
          </w:tcPr>
          <w:p>
            <w:pPr>
              <w:spacing w:after="0"/>
              <w:rPr>
                <w:sz w:val="1"/>
                <w:szCs w:val="1"/>
                <w:color w:val="auto"/>
              </w:rPr>
            </w:pPr>
          </w:p>
        </w:tc>
      </w:tr>
      <w:tr>
        <w:trPr>
          <w:trHeight w:val="236"/>
        </w:trPr>
        <w:tc>
          <w:tcPr>
            <w:tcW w:w="20" w:type="dxa"/>
            <w:vAlign w:val="bottom"/>
            <w:tcBorders>
              <w:top w:val="single" w:sz="8" w:color="auto"/>
            </w:tcBorders>
            <w:shd w:val="clear" w:color="auto" w:fill="CCEEFF"/>
          </w:tcPr>
          <w:p>
            <w:pPr>
              <w:spacing w:after="0"/>
              <w:rPr>
                <w:sz w:val="20"/>
                <w:szCs w:val="20"/>
                <w:color w:val="auto"/>
              </w:rPr>
            </w:pPr>
          </w:p>
        </w:tc>
        <w:tc>
          <w:tcPr>
            <w:tcW w:w="38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22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3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0" w:type="dxa"/>
            <w:vAlign w:val="bottom"/>
          </w:tcPr>
          <w:p>
            <w:pPr>
              <w:spacing w:after="0"/>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3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9" w:name="page30"/>
    <w:bookmarkEnd w:id="29"/>
    <w:p>
      <w:pPr>
        <w:ind w:left="20"/>
        <w:spacing w:after="0"/>
        <w:rPr>
          <w:sz w:val="20"/>
          <w:szCs w:val="20"/>
          <w:color w:val="auto"/>
        </w:rPr>
      </w:pPr>
      <w:r>
        <w:rPr>
          <w:rFonts w:ascii="Times New Roman" w:cs="Times New Roman" w:eastAsia="Times New Roman" w:hAnsi="Times New Roman"/>
          <w:sz w:val="18"/>
          <w:szCs w:val="18"/>
          <w:u w:val="single" w:color="auto"/>
          <w:color w:val="auto"/>
        </w:rPr>
        <w:t>Table 4.9: Allowance for Credit Losses (continued)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Beginning</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Provision</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8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Balance</w:t>
            </w:r>
          </w:p>
        </w:tc>
        <w:tc>
          <w:tcPr>
            <w:tcW w:w="200" w:type="dxa"/>
            <w:vAlign w:val="bottom"/>
          </w:tcPr>
          <w:p>
            <w:pPr>
              <w:spacing w:after="0"/>
              <w:rPr>
                <w:sz w:val="21"/>
                <w:szCs w:val="21"/>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Charge-offs</w:t>
            </w:r>
          </w:p>
        </w:tc>
        <w:tc>
          <w:tcPr>
            <w:tcW w:w="200" w:type="dxa"/>
            <w:vAlign w:val="bottom"/>
          </w:tcPr>
          <w:p>
            <w:pPr>
              <w:spacing w:after="0"/>
              <w:rPr>
                <w:sz w:val="21"/>
                <w:szCs w:val="21"/>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Recoveries</w:t>
            </w:r>
          </w:p>
        </w:tc>
        <w:tc>
          <w:tcPr>
            <w:tcW w:w="240" w:type="dxa"/>
            <w:vAlign w:val="bottom"/>
          </w:tcPr>
          <w:p>
            <w:pPr>
              <w:spacing w:after="0"/>
              <w:rPr>
                <w:sz w:val="21"/>
                <w:szCs w:val="21"/>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(Benefit)</w:t>
            </w: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Ending Balance</w:t>
            </w:r>
          </w:p>
        </w:tc>
        <w:tc>
          <w:tcPr>
            <w:tcW w:w="0" w:type="dxa"/>
            <w:vAlign w:val="bottom"/>
          </w:tcPr>
          <w:p>
            <w:pPr>
              <w:spacing w:after="0"/>
              <w:rPr>
                <w:sz w:val="1"/>
                <w:szCs w:val="1"/>
                <w:color w:val="auto"/>
              </w:rPr>
            </w:pPr>
          </w:p>
        </w:tc>
      </w:tr>
      <w:tr>
        <w:trPr>
          <w:trHeight w:val="473"/>
        </w:trPr>
        <w:tc>
          <w:tcPr>
            <w:tcW w:w="38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220" w:type="dxa"/>
            <w:vAlign w:val="bottom"/>
            <w:tcBorders>
              <w:top w:val="single" w:sz="8" w:color="auto"/>
              <w:bottom w:val="single" w:sz="8" w:color="CCEEFF"/>
            </w:tcBorders>
            <w:shd w:val="clear" w:color="auto" w:fill="CCEEFF"/>
          </w:tcPr>
          <w:p>
            <w:pPr>
              <w:spacing w:after="0"/>
              <w:rPr>
                <w:sz w:val="24"/>
                <w:szCs w:val="24"/>
                <w:color w:val="auto"/>
              </w:rPr>
            </w:pPr>
          </w:p>
        </w:tc>
        <w:tc>
          <w:tcPr>
            <w:tcW w:w="118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CCEEFF"/>
            </w:tcBorders>
            <w:shd w:val="clear" w:color="auto" w:fill="CCEEFF"/>
          </w:tcPr>
          <w:p>
            <w:pPr>
              <w:spacing w:after="0"/>
              <w:rPr>
                <w:sz w:val="24"/>
                <w:szCs w:val="24"/>
                <w:color w:val="auto"/>
              </w:rPr>
            </w:pPr>
          </w:p>
        </w:tc>
        <w:tc>
          <w:tcPr>
            <w:tcW w:w="120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CCEEFF"/>
            </w:tcBorders>
            <w:shd w:val="clear" w:color="auto" w:fill="CCEEFF"/>
          </w:tcPr>
          <w:p>
            <w:pPr>
              <w:spacing w:after="0"/>
              <w:rPr>
                <w:sz w:val="24"/>
                <w:szCs w:val="24"/>
                <w:color w:val="auto"/>
              </w:rPr>
            </w:pPr>
          </w:p>
        </w:tc>
        <w:tc>
          <w:tcPr>
            <w:tcW w:w="120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CCEEFF"/>
            </w:tcBorders>
            <w:shd w:val="clear" w:color="auto" w:fill="CCEEFF"/>
          </w:tcPr>
          <w:p>
            <w:pPr>
              <w:spacing w:after="0"/>
              <w:rPr>
                <w:sz w:val="24"/>
                <w:szCs w:val="24"/>
                <w:color w:val="auto"/>
              </w:rPr>
            </w:pPr>
          </w:p>
        </w:tc>
        <w:tc>
          <w:tcPr>
            <w:tcW w:w="116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1280" w:type="dxa"/>
            <w:vAlign w:val="bottom"/>
            <w:tcBorders>
              <w:top w:val="single" w:sz="8" w:color="auto"/>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28,540</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10,630</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43"/>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0" w:type="dxa"/>
            <w:vAlign w:val="bottom"/>
          </w:tcPr>
          <w:p>
            <w:pPr>
              <w:spacing w:after="0"/>
              <w:rPr>
                <w:sz w:val="1"/>
                <w:szCs w:val="1"/>
                <w:color w:val="auto"/>
              </w:rPr>
            </w:pPr>
          </w:p>
        </w:tc>
      </w:tr>
      <w:tr>
        <w:trPr>
          <w:trHeight w:val="262"/>
        </w:trPr>
        <w:tc>
          <w:tcPr>
            <w:tcW w:w="3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49,390</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23,473</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43"/>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0" w:type="dxa"/>
            <w:vAlign w:val="bottom"/>
          </w:tcPr>
          <w:p>
            <w:pPr>
              <w:spacing w:after="0"/>
              <w:rPr>
                <w:sz w:val="1"/>
                <w:szCs w:val="1"/>
                <w:color w:val="auto"/>
              </w:rPr>
            </w:pPr>
          </w:p>
        </w:tc>
      </w:tr>
      <w:tr>
        <w:trPr>
          <w:trHeight w:val="261"/>
        </w:trPr>
        <w:tc>
          <w:tcPr>
            <w:tcW w:w="3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42,061</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Unfunded Loan Commitment Reserves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Unfunded loan commitment reserves are included in “Interest payable and other liabilities” in the unaudited consolidated balance sheets. Provisions for unfunded loan commitments are included in “Provision for credit losses” in the unaudited consolidated statements of income.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4.10: Unfunded Loan Commitment Reserves</w:t>
            </w: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63"/>
        </w:trPr>
        <w:tc>
          <w:tcPr>
            <w:tcW w:w="20" w:type="dxa"/>
            <w:vAlign w:val="bottom"/>
          </w:tcPr>
          <w:p>
            <w:pPr>
              <w:spacing w:after="0"/>
              <w:rPr>
                <w:sz w:val="22"/>
                <w:szCs w:val="22"/>
                <w:color w:val="auto"/>
              </w:rPr>
            </w:pPr>
          </w:p>
        </w:tc>
        <w:tc>
          <w:tcPr>
            <w:tcW w:w="3680" w:type="dxa"/>
            <w:vAlign w:val="bottom"/>
            <w:tcBorders>
              <w:top w:val="single" w:sz="8" w:color="auto"/>
            </w:tcBorders>
          </w:tcPr>
          <w:p>
            <w:pPr>
              <w:spacing w:after="0"/>
              <w:rPr>
                <w:sz w:val="22"/>
                <w:szCs w:val="22"/>
                <w:color w:val="auto"/>
              </w:rPr>
            </w:pPr>
          </w:p>
        </w:tc>
        <w:tc>
          <w:tcPr>
            <w:tcW w:w="10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Three months ended</w:t>
            </w: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Nine months ended</w:t>
            </w:r>
          </w:p>
        </w:tc>
        <w:tc>
          <w:tcPr>
            <w:tcW w:w="660" w:type="dxa"/>
            <w:vAlign w:val="bottom"/>
            <w:tcBorders>
              <w:bottom w:val="single" w:sz="8" w:color="auto"/>
            </w:tcBorders>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September 30, 2026</w:t>
            </w: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September 30, 2025</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September 30, 2026</w:t>
            </w: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September 30, 2025</w:t>
            </w:r>
          </w:p>
        </w:tc>
      </w:tr>
      <w:tr>
        <w:trPr>
          <w:trHeight w:val="236"/>
        </w:trPr>
        <w:tc>
          <w:tcPr>
            <w:tcW w:w="20" w:type="dxa"/>
            <w:vAlign w:val="bottom"/>
            <w:tcBorders>
              <w:top w:val="single" w:sz="8" w:color="CCEEFF"/>
            </w:tcBorders>
            <w:shd w:val="clear" w:color="auto" w:fill="CCEEFF"/>
          </w:tcPr>
          <w:p>
            <w:pPr>
              <w:spacing w:after="0"/>
              <w:rPr>
                <w:sz w:val="20"/>
                <w:szCs w:val="20"/>
                <w:color w:val="auto"/>
              </w:rPr>
            </w:pPr>
          </w:p>
        </w:tc>
        <w:tc>
          <w:tcPr>
            <w:tcW w:w="4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6"/>
              </w:rPr>
              <w:t>747</w:t>
            </w:r>
          </w:p>
        </w:tc>
      </w:tr>
      <w:tr>
        <w:trPr>
          <w:trHeight w:val="243"/>
        </w:trPr>
        <w:tc>
          <w:tcPr>
            <w:tcW w:w="20" w:type="dxa"/>
            <w:vAlign w:val="bottom"/>
          </w:tcPr>
          <w:p>
            <w:pPr>
              <w:spacing w:after="0"/>
              <w:rPr>
                <w:sz w:val="21"/>
                <w:szCs w:val="21"/>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(benefit)</w:t>
            </w: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(150)</w:t>
            </w:r>
          </w:p>
        </w:tc>
      </w:tr>
      <w:tr>
        <w:trPr>
          <w:trHeight w:val="262"/>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47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6"/>
              </w:rPr>
              <w:t>597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Pledged Loans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FHLB line of credit is secured under terms of a collateral agreement by a pledge of certain qualifying loans with unpaid principal balances of $2.5 billion and $2.2 billion at September 30, 2026 and December 31, 2025,</w:t>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respectively. In addition, the Company pledges eligible tenants in common loans, which totaled $1.6 billion and $1.3 billion at September 30, 2026 and December 31, 2025, respectively, to secure its borrowing capacity with the Federal Reserve Discount Window. See Note 6, Subordinated Notes and Other Borrowings, for further discussion of these borrowings.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Interest-Bearing Deposits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5.1 shows the composition of interest-bearing deposits as of September 30, 2026 and December 31, 2025.</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Table 5.1: Interest-Bearing Deposits</w:t>
            </w:r>
          </w:p>
        </w:tc>
        <w:tc>
          <w:tcPr>
            <w:tcW w:w="44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63"/>
        </w:trPr>
        <w:tc>
          <w:tcPr>
            <w:tcW w:w="20" w:type="dxa"/>
            <w:vAlign w:val="bottom"/>
            <w:tcBorders>
              <w:bottom w:val="single" w:sz="8" w:color="auto"/>
            </w:tcBorders>
          </w:tcPr>
          <w:p>
            <w:pPr>
              <w:spacing w:after="0"/>
              <w:rPr>
                <w:sz w:val="22"/>
                <w:szCs w:val="22"/>
                <w:color w:val="auto"/>
              </w:rPr>
            </w:pPr>
          </w:p>
        </w:tc>
        <w:tc>
          <w:tcPr>
            <w:tcW w:w="6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September 30, 2026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37"/>
        </w:trPr>
        <w:tc>
          <w:tcPr>
            <w:tcW w:w="20" w:type="dxa"/>
            <w:vAlign w:val="bottom"/>
            <w:shd w:val="clear" w:color="auto" w:fill="CCEEFF"/>
          </w:tcPr>
          <w:p>
            <w:pPr>
              <w:spacing w:after="0"/>
              <w:rPr>
                <w:sz w:val="20"/>
                <w:szCs w:val="20"/>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415,688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344,200</w:t>
            </w:r>
          </w:p>
        </w:tc>
      </w:tr>
      <w:tr>
        <w:trPr>
          <w:trHeight w:val="243"/>
        </w:trPr>
        <w:tc>
          <w:tcPr>
            <w:tcW w:w="20" w:type="dxa"/>
            <w:vAlign w:val="bottom"/>
          </w:tcPr>
          <w:p>
            <w:pPr>
              <w:spacing w:after="0"/>
              <w:rPr>
                <w:sz w:val="21"/>
                <w:szCs w:val="21"/>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Savings accounts</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139,169</w:t>
            </w:r>
          </w:p>
        </w:tc>
      </w:tr>
      <w:tr>
        <w:trPr>
          <w:trHeight w:val="243"/>
        </w:trPr>
        <w:tc>
          <w:tcPr>
            <w:tcW w:w="20" w:type="dxa"/>
            <w:vAlign w:val="bottom"/>
            <w:shd w:val="clear" w:color="auto" w:fill="CCEEFF"/>
          </w:tcPr>
          <w:p>
            <w:pPr>
              <w:spacing w:after="0"/>
              <w:rPr>
                <w:sz w:val="21"/>
                <w:szCs w:val="21"/>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2,791,209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2,078,567</w:t>
            </w:r>
          </w:p>
        </w:tc>
      </w:tr>
      <w:tr>
        <w:trPr>
          <w:trHeight w:val="243"/>
        </w:trPr>
        <w:tc>
          <w:tcPr>
            <w:tcW w:w="20" w:type="dxa"/>
            <w:vAlign w:val="bottom"/>
          </w:tcPr>
          <w:p>
            <w:pPr>
              <w:spacing w:after="0"/>
              <w:rPr>
                <w:sz w:val="21"/>
                <w:szCs w:val="21"/>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Time accounts, $250 or more</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350,032</w:t>
            </w:r>
          </w:p>
        </w:tc>
      </w:tr>
      <w:tr>
        <w:trPr>
          <w:trHeight w:val="243"/>
        </w:trPr>
        <w:tc>
          <w:tcPr>
            <w:tcW w:w="20" w:type="dxa"/>
            <w:vAlign w:val="bottom"/>
            <w:shd w:val="clear" w:color="auto" w:fill="CCEEFF"/>
          </w:tcPr>
          <w:p>
            <w:pPr>
              <w:spacing w:after="0"/>
              <w:rPr>
                <w:sz w:val="21"/>
                <w:szCs w:val="21"/>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time accounts</w:t>
            </w:r>
          </w:p>
        </w:tc>
        <w:tc>
          <w:tcPr>
            <w:tcW w:w="20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204,579</w:t>
            </w:r>
          </w:p>
        </w:tc>
      </w:tr>
      <w:tr>
        <w:trPr>
          <w:trHeight w:val="237"/>
        </w:trPr>
        <w:tc>
          <w:tcPr>
            <w:tcW w:w="20" w:type="dxa"/>
            <w:vAlign w:val="bottom"/>
          </w:tcPr>
          <w:p>
            <w:pPr>
              <w:spacing w:after="0"/>
              <w:rPr>
                <w:sz w:val="20"/>
                <w:szCs w:val="20"/>
                <w:color w:val="auto"/>
              </w:rPr>
            </w:pPr>
          </w:p>
        </w:tc>
        <w:tc>
          <w:tcPr>
            <w:tcW w:w="7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3,614,040</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3,116,547</w:t>
            </w:r>
          </w:p>
        </w:tc>
      </w:tr>
      <w:tr>
        <w:trPr>
          <w:trHeight w:val="21"/>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Time deposits totaled $257.8 million and $554.6 million as of September 30, 2026 and December 31, 2025, respectively. Scheduled maturities of time deposits as of September 30, 2026 for the next five years are shown in Table 5.2.</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Table 5.2: Scheduled Maturities of Time Deposits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220" w:type="dxa"/>
            <w:vAlign w:val="bottom"/>
            <w:tcBorders>
              <w:top w:val="single" w:sz="8" w:color="auto"/>
            </w:tcBorders>
            <w:shd w:val="clear" w:color="auto" w:fill="CCEEFF"/>
          </w:tcPr>
          <w:p>
            <w:pPr>
              <w:jc w:val="right"/>
              <w:ind w:right="8750"/>
              <w:spacing w:after="0"/>
              <w:rPr>
                <w:sz w:val="20"/>
                <w:szCs w:val="20"/>
                <w:color w:val="auto"/>
              </w:rPr>
            </w:pPr>
            <w:r>
              <w:rPr>
                <w:rFonts w:ascii="Times New Roman" w:cs="Times New Roman" w:eastAsia="Times New Roman" w:hAnsi="Times New Roman"/>
                <w:sz w:val="18"/>
                <w:szCs w:val="18"/>
                <w:color w:val="auto"/>
                <w:w w:val="99"/>
              </w:rPr>
              <w:t>2026</w:t>
            </w:r>
          </w:p>
        </w:tc>
        <w:tc>
          <w:tcPr>
            <w:tcW w:w="74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213,826</w:t>
            </w:r>
          </w:p>
        </w:tc>
      </w:tr>
      <w:tr>
        <w:trPr>
          <w:trHeight w:val="243"/>
        </w:trPr>
        <w:tc>
          <w:tcPr>
            <w:tcW w:w="9220" w:type="dxa"/>
            <w:vAlign w:val="bottom"/>
          </w:tcPr>
          <w:p>
            <w:pPr>
              <w:jc w:val="right"/>
              <w:ind w:right="8750"/>
              <w:spacing w:after="0"/>
              <w:rPr>
                <w:sz w:val="20"/>
                <w:szCs w:val="20"/>
                <w:color w:val="auto"/>
              </w:rPr>
            </w:pPr>
            <w:r>
              <w:rPr>
                <w:rFonts w:ascii="Times New Roman" w:cs="Times New Roman" w:eastAsia="Times New Roman" w:hAnsi="Times New Roman"/>
                <w:sz w:val="18"/>
                <w:szCs w:val="18"/>
                <w:color w:val="auto"/>
                <w:w w:val="99"/>
              </w:rPr>
              <w:t>2027</w:t>
            </w:r>
          </w:p>
        </w:tc>
        <w:tc>
          <w:tcPr>
            <w:tcW w:w="7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43,857</w:t>
            </w:r>
          </w:p>
        </w:tc>
      </w:tr>
      <w:tr>
        <w:trPr>
          <w:trHeight w:val="243"/>
        </w:trPr>
        <w:tc>
          <w:tcPr>
            <w:tcW w:w="9220" w:type="dxa"/>
            <w:vAlign w:val="bottom"/>
            <w:shd w:val="clear" w:color="auto" w:fill="CCEEFF"/>
          </w:tcPr>
          <w:p>
            <w:pPr>
              <w:jc w:val="right"/>
              <w:ind w:right="8750"/>
              <w:spacing w:after="0"/>
              <w:rPr>
                <w:sz w:val="20"/>
                <w:szCs w:val="20"/>
                <w:color w:val="auto"/>
              </w:rPr>
            </w:pPr>
            <w:r>
              <w:rPr>
                <w:rFonts w:ascii="Times New Roman" w:cs="Times New Roman" w:eastAsia="Times New Roman" w:hAnsi="Times New Roman"/>
                <w:sz w:val="18"/>
                <w:szCs w:val="18"/>
                <w:color w:val="auto"/>
                <w:w w:val="99"/>
              </w:rPr>
              <w:t>2028</w:t>
            </w:r>
          </w:p>
        </w:tc>
        <w:tc>
          <w:tcPr>
            <w:tcW w:w="7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43"/>
        </w:trPr>
        <w:tc>
          <w:tcPr>
            <w:tcW w:w="9220" w:type="dxa"/>
            <w:vAlign w:val="bottom"/>
          </w:tcPr>
          <w:p>
            <w:pPr>
              <w:jc w:val="right"/>
              <w:ind w:right="8750"/>
              <w:spacing w:after="0"/>
              <w:rPr>
                <w:sz w:val="20"/>
                <w:szCs w:val="20"/>
                <w:color w:val="auto"/>
              </w:rPr>
            </w:pPr>
            <w:r>
              <w:rPr>
                <w:rFonts w:ascii="Times New Roman" w:cs="Times New Roman" w:eastAsia="Times New Roman" w:hAnsi="Times New Roman"/>
                <w:sz w:val="18"/>
                <w:szCs w:val="18"/>
                <w:color w:val="auto"/>
                <w:w w:val="99"/>
              </w:rPr>
              <w:t>2029</w:t>
            </w:r>
          </w:p>
        </w:tc>
        <w:tc>
          <w:tcPr>
            <w:tcW w:w="7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220" w:type="dxa"/>
            <w:vAlign w:val="bottom"/>
            <w:shd w:val="clear" w:color="auto" w:fill="CCEEFF"/>
          </w:tcPr>
          <w:p>
            <w:pPr>
              <w:jc w:val="right"/>
              <w:ind w:right="8750"/>
              <w:spacing w:after="0"/>
              <w:rPr>
                <w:sz w:val="20"/>
                <w:szCs w:val="20"/>
                <w:color w:val="auto"/>
              </w:rPr>
            </w:pPr>
            <w:r>
              <w:rPr>
                <w:rFonts w:ascii="Times New Roman" w:cs="Times New Roman" w:eastAsia="Times New Roman" w:hAnsi="Times New Roman"/>
                <w:sz w:val="18"/>
                <w:szCs w:val="18"/>
                <w:color w:val="auto"/>
                <w:w w:val="99"/>
              </w:rPr>
              <w:t>2030</w:t>
            </w:r>
          </w:p>
        </w:tc>
        <w:tc>
          <w:tcPr>
            <w:tcW w:w="7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9220" w:type="dxa"/>
            <w:vAlign w:val="bottom"/>
          </w:tcPr>
          <w:p>
            <w:pPr>
              <w:jc w:val="right"/>
              <w:ind w:right="7570"/>
              <w:spacing w:after="0"/>
              <w:rPr>
                <w:sz w:val="20"/>
                <w:szCs w:val="20"/>
                <w:color w:val="auto"/>
              </w:rPr>
            </w:pPr>
            <w:r>
              <w:rPr>
                <w:rFonts w:ascii="Times New Roman" w:cs="Times New Roman" w:eastAsia="Times New Roman" w:hAnsi="Times New Roman"/>
                <w:sz w:val="18"/>
                <w:szCs w:val="18"/>
                <w:color w:val="auto"/>
              </w:rPr>
              <w:t>Total time deposits</w:t>
            </w: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257,847</w:t>
            </w:r>
          </w:p>
        </w:tc>
      </w:tr>
      <w:tr>
        <w:trPr>
          <w:trHeight w:val="20"/>
        </w:trPr>
        <w:tc>
          <w:tcPr>
            <w:tcW w:w="9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deposits include deposits offered through the IntraFi Network that are comprised of Certificate of Deposit Account Registry Service® (“CDARS”) balances included in time deposits and Insured Cash Sweep® (“ICS”) balances included in money market and interest-bearing transaction deposits. Through this network, the Company offers customers access to FDIC-insured deposit products in aggregate amounts exceeding current insurance limits. When funds are deposited through CDARS and ICS on behalf of a customer, the Company has the option of receiving matching deposits through the network’s reciprocal deposit program or placing deposits “one-way,” for which the Company receives no matching deposits. The Company considers the reciprocal deposits to be in-market deposits, as distinguished from traditional out-of-market brokered deposits. There were no one-way deposits at September 30, 2026 or December 31, 2025. The composition of network deposits as of September 30, 2026 and December 31, 2025 is shown in Table 5.3.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Table 5.3: Network Deposits</w:t>
            </w:r>
          </w:p>
        </w:tc>
        <w:tc>
          <w:tcPr>
            <w:tcW w:w="17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auto"/>
            </w:tcBorders>
          </w:tcPr>
          <w:p>
            <w:pPr>
              <w:spacing w:after="0"/>
              <w:rPr>
                <w:sz w:val="22"/>
                <w:szCs w:val="22"/>
                <w:color w:val="auto"/>
              </w:rPr>
            </w:pPr>
          </w:p>
        </w:tc>
        <w:tc>
          <w:tcPr>
            <w:tcW w:w="3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1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September 30, 2026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CDARS</w:t>
            </w:r>
          </w:p>
        </w:tc>
        <w:tc>
          <w:tcPr>
            <w:tcW w:w="3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21,488</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3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ICS</w:t>
            </w:r>
          </w:p>
        </w:tc>
        <w:tc>
          <w:tcPr>
            <w:tcW w:w="3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1,328,843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957,156</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3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network deposits</w:t>
            </w:r>
          </w:p>
        </w:tc>
        <w:tc>
          <w:tcPr>
            <w:tcW w:w="3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1,352,824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978,644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3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Table 5.4 presents interest expense recognized on interest-bearing deposits for the periods ended September 30, 2026 and 2025.</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Table 5.4: Interest Expense Recognized on Interest-Bearing Deposits</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63"/>
        </w:trPr>
        <w:tc>
          <w:tcPr>
            <w:tcW w:w="20" w:type="dxa"/>
            <w:vAlign w:val="bottom"/>
          </w:tcPr>
          <w:p>
            <w:pPr>
              <w:spacing w:after="0"/>
              <w:rPr>
                <w:sz w:val="22"/>
                <w:szCs w:val="22"/>
                <w:color w:val="auto"/>
              </w:rPr>
            </w:pPr>
          </w:p>
        </w:tc>
        <w:tc>
          <w:tcPr>
            <w:tcW w:w="47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Three months ended</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Nine months ended</w:t>
            </w:r>
          </w:p>
        </w:tc>
        <w:tc>
          <w:tcPr>
            <w:tcW w:w="720" w:type="dxa"/>
            <w:vAlign w:val="bottom"/>
            <w:tcBorders>
              <w:bottom w:val="single" w:sz="8" w:color="auto"/>
            </w:tcBorders>
          </w:tcPr>
          <w:p>
            <w:pPr>
              <w:spacing w:after="0"/>
              <w:rPr>
                <w:sz w:val="22"/>
                <w:szCs w:val="22"/>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September 30, 2026</w:t>
            </w:r>
          </w:p>
        </w:tc>
        <w:tc>
          <w:tcPr>
            <w:tcW w:w="8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1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September 30, 2026</w:t>
            </w:r>
          </w:p>
        </w:tc>
        <w:tc>
          <w:tcPr>
            <w:tcW w:w="8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r>
        <w:trPr>
          <w:trHeight w:val="237"/>
        </w:trPr>
        <w:tc>
          <w:tcPr>
            <w:tcW w:w="20" w:type="dxa"/>
            <w:vAlign w:val="bottom"/>
            <w:shd w:val="clear" w:color="auto" w:fill="CCEEFF"/>
          </w:tcPr>
          <w:p>
            <w:pPr>
              <w:spacing w:after="0"/>
              <w:rPr>
                <w:sz w:val="20"/>
                <w:szCs w:val="20"/>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r>
      <w:tr>
        <w:trPr>
          <w:trHeight w:val="243"/>
        </w:trPr>
        <w:tc>
          <w:tcPr>
            <w:tcW w:w="20" w:type="dxa"/>
            <w:vAlign w:val="bottom"/>
          </w:tcPr>
          <w:p>
            <w:pPr>
              <w:spacing w:after="0"/>
              <w:rPr>
                <w:sz w:val="21"/>
                <w:szCs w:val="21"/>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Savings accounts</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r>
      <w:tr>
        <w:trPr>
          <w:trHeight w:val="243"/>
        </w:trPr>
        <w:tc>
          <w:tcPr>
            <w:tcW w:w="20" w:type="dxa"/>
            <w:vAlign w:val="bottom"/>
            <w:shd w:val="clear" w:color="auto" w:fill="CCEEFF"/>
          </w:tcPr>
          <w:p>
            <w:pPr>
              <w:spacing w:after="0"/>
              <w:rPr>
                <w:sz w:val="21"/>
                <w:szCs w:val="21"/>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21,729</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56,897</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41,052</w:t>
            </w:r>
          </w:p>
        </w:tc>
      </w:tr>
      <w:tr>
        <w:trPr>
          <w:trHeight w:val="243"/>
        </w:trPr>
        <w:tc>
          <w:tcPr>
            <w:tcW w:w="20" w:type="dxa"/>
            <w:vAlign w:val="bottom"/>
          </w:tcPr>
          <w:p>
            <w:pPr>
              <w:spacing w:after="0"/>
              <w:rPr>
                <w:sz w:val="21"/>
                <w:szCs w:val="21"/>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Time accounts, $250 or more</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8,153</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11,716</w:t>
            </w:r>
          </w:p>
        </w:tc>
      </w:tr>
      <w:tr>
        <w:trPr>
          <w:trHeight w:val="243"/>
        </w:trPr>
        <w:tc>
          <w:tcPr>
            <w:tcW w:w="20" w:type="dxa"/>
            <w:vAlign w:val="bottom"/>
            <w:shd w:val="clear" w:color="auto" w:fill="CCEEFF"/>
          </w:tcPr>
          <w:p>
            <w:pPr>
              <w:spacing w:after="0"/>
              <w:rPr>
                <w:sz w:val="21"/>
                <w:szCs w:val="21"/>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time accounts</w:t>
            </w:r>
          </w:p>
        </w:tc>
        <w:tc>
          <w:tcPr>
            <w:tcW w:w="8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8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10,602</w:t>
            </w:r>
          </w:p>
        </w:tc>
      </w:tr>
      <w:tr>
        <w:trPr>
          <w:trHeight w:val="237"/>
        </w:trPr>
        <w:tc>
          <w:tcPr>
            <w:tcW w:w="20" w:type="dxa"/>
            <w:vAlign w:val="bottom"/>
          </w:tcPr>
          <w:p>
            <w:pPr>
              <w:spacing w:after="0"/>
              <w:rPr>
                <w:sz w:val="20"/>
                <w:szCs w:val="20"/>
                <w:color w:val="auto"/>
              </w:rPr>
            </w:pPr>
          </w:p>
        </w:tc>
        <w:tc>
          <w:tcPr>
            <w:tcW w:w="4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interest expense on interest-bearing deposits</w:t>
            </w:r>
          </w:p>
        </w:tc>
        <w:tc>
          <w:tcPr>
            <w:tcW w:w="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27,087</w:t>
            </w:r>
          </w:p>
        </w:tc>
        <w:tc>
          <w:tcPr>
            <w:tcW w:w="80" w:type="dxa"/>
            <w:vAlign w:val="bottom"/>
          </w:tcPr>
          <w:p>
            <w:pPr>
              <w:spacing w:after="0"/>
              <w:rPr>
                <w:sz w:val="20"/>
                <w:szCs w:val="20"/>
                <w:color w:val="auto"/>
              </w:rPr>
            </w:pP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24,336</w:t>
            </w:r>
          </w:p>
        </w:tc>
        <w:tc>
          <w:tcPr>
            <w:tcW w:w="100" w:type="dxa"/>
            <w:vAlign w:val="bottom"/>
          </w:tcPr>
          <w:p>
            <w:pPr>
              <w:spacing w:after="0"/>
              <w:rPr>
                <w:sz w:val="20"/>
                <w:szCs w:val="20"/>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74,898</w:t>
            </w:r>
          </w:p>
        </w:tc>
        <w:tc>
          <w:tcPr>
            <w:tcW w:w="80" w:type="dxa"/>
            <w:vAlign w:val="bottom"/>
          </w:tcPr>
          <w:p>
            <w:pPr>
              <w:spacing w:after="0"/>
              <w:rPr>
                <w:sz w:val="20"/>
                <w:szCs w:val="20"/>
                <w:color w:val="auto"/>
              </w:rPr>
            </w:pPr>
          </w:p>
        </w:tc>
        <w:tc>
          <w:tcPr>
            <w:tcW w:w="8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69,188</w:t>
            </w: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Subordinated Notes and Other Borrowings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Subordinated notes</w:t>
      </w:r>
      <w:r>
        <w:rPr>
          <w:rFonts w:ascii="Times New Roman" w:cs="Times New Roman" w:eastAsia="Times New Roman" w:hAnsi="Times New Roman"/>
          <w:sz w:val="18"/>
          <w:szCs w:val="18"/>
          <w:color w:val="auto"/>
        </w:rPr>
        <w:t>: On August 17, 2022, the Company completed a private placement of $75.0 million of fixed-to-floating rate subordinated notes to certain qualified investors, of which $19.3 million was purchased by existing or former members of the board of directors and their affiliates. The notes were used for capital management and general corporate purposes, including, without limitation, the redemption of existing subordinated notes. The subordinated notes have a maturity date of September 1, 2032 and bear interest, payable semi-annually, at the rate of 6.00% per annum until September 1, 2027. On that date, the interest rate will be adjusted to float at a rate equal to the three-month Term SOFR plus 329.0 basis points (7.37% as of September 30, 2026) until maturity. The notes include a right of prepayment, on or after August 17, 2027 or, in certain limited circumstances, before that date. The indebtedness evidenced by the subordinated notes, including principal and interest, is unsecured and subordinate and junior in right of payment to general and secured creditors and depositors of the Company.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subordinated notes have been structured to qualify as Tier 2 capital for the Company for regulatory capital purposes. Eligible amounts will be phased out by 20% per year beginning five years before the maturity date of the notes. Debt issuance costs incurred in conjunction with the notes were $1.5 million, of which $0.6 million has been amortized as of September 30, 2026. The Company reflects debt issuance costs as a direct deduction from the face of the note. The debt issuance costs are amortized into interest expense through the maturity period. At September 30, 2026 and December 31, 2025, the carrying value of the Company’s subordinated notes outstanding was $74.2 million and $74.0 million, respectively.</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Other borrowings</w:t>
      </w:r>
      <w:r>
        <w:rPr>
          <w:rFonts w:ascii="Times New Roman" w:cs="Times New Roman" w:eastAsia="Times New Roman" w:hAnsi="Times New Roman"/>
          <w:sz w:val="18"/>
          <w:szCs w:val="18"/>
          <w:color w:val="auto"/>
        </w:rPr>
        <w:t>: The Company entered into an agreement with the FHLB which granted the FHLB a blanket lien on certain loans receivable as collateral for a borrowing line. The Company’s total financing availability is based on the dollar volume of qualifying loan collateral. The Company’s total financing availability with the FHLB is decreased by outstanding borrowings and letters of credit (“LCs”) issued on behalf of the Company, as shown in Table 6.1.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Table 6.1: Financing Availability with the FHLB</w:t>
            </w:r>
          </w:p>
        </w:tc>
        <w:tc>
          <w:tcPr>
            <w:tcW w:w="35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63"/>
        </w:trPr>
        <w:tc>
          <w:tcPr>
            <w:tcW w:w="20" w:type="dxa"/>
            <w:vAlign w:val="bottom"/>
            <w:tcBorders>
              <w:bottom w:val="single" w:sz="8" w:color="auto"/>
            </w:tcBorders>
          </w:tcPr>
          <w:p>
            <w:pPr>
              <w:spacing w:after="0"/>
              <w:rPr>
                <w:sz w:val="22"/>
                <w:szCs w:val="22"/>
                <w:color w:val="auto"/>
              </w:rPr>
            </w:pPr>
          </w:p>
        </w:tc>
        <w:tc>
          <w:tcPr>
            <w:tcW w:w="6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September 30, 2026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36"/>
        </w:trPr>
        <w:tc>
          <w:tcPr>
            <w:tcW w:w="20" w:type="dxa"/>
            <w:vAlign w:val="bottom"/>
            <w:shd w:val="clear" w:color="auto" w:fill="CCEEFF"/>
          </w:tcPr>
          <w:p>
            <w:pPr>
              <w:spacing w:after="0"/>
              <w:rPr>
                <w:sz w:val="20"/>
                <w:szCs w:val="20"/>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financing ability from the FHLB</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1,714,154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1,518,680</w:t>
            </w:r>
          </w:p>
        </w:tc>
      </w:tr>
      <w:tr>
        <w:trPr>
          <w:trHeight w:val="243"/>
        </w:trPr>
        <w:tc>
          <w:tcPr>
            <w:tcW w:w="20" w:type="dxa"/>
            <w:vAlign w:val="bottom"/>
          </w:tcPr>
          <w:p>
            <w:pPr>
              <w:spacing w:after="0"/>
              <w:rPr>
                <w:sz w:val="21"/>
                <w:szCs w:val="21"/>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outstanding borrowings</w:t>
            </w:r>
          </w:p>
        </w:tc>
        <w:tc>
          <w:tcPr>
            <w:tcW w:w="200" w:type="dxa"/>
            <w:vAlign w:val="bottom"/>
          </w:tcPr>
          <w:p>
            <w:pPr>
              <w:spacing w:after="0"/>
              <w:rPr>
                <w:sz w:val="21"/>
                <w:szCs w:val="21"/>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shd w:val="clear" w:color="auto" w:fill="CCEEFF"/>
          </w:tcPr>
          <w:p>
            <w:pPr>
              <w:spacing w:after="0"/>
              <w:rPr>
                <w:sz w:val="21"/>
                <w:szCs w:val="21"/>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LCs pledged to secure State of California deposits</w:t>
            </w: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312,500</w:t>
            </w:r>
          </w:p>
        </w:tc>
      </w:tr>
      <w:tr>
        <w:trPr>
          <w:trHeight w:val="243"/>
        </w:trPr>
        <w:tc>
          <w:tcPr>
            <w:tcW w:w="20" w:type="dxa"/>
            <w:vAlign w:val="bottom"/>
            <w:tcBorders>
              <w:bottom w:val="single" w:sz="8" w:color="CCEEFF"/>
            </w:tcBorders>
          </w:tcPr>
          <w:p>
            <w:pPr>
              <w:spacing w:after="0"/>
              <w:rPr>
                <w:sz w:val="21"/>
                <w:szCs w:val="21"/>
                <w:color w:val="auto"/>
              </w:rPr>
            </w:pPr>
          </w:p>
        </w:tc>
        <w:tc>
          <w:tcPr>
            <w:tcW w:w="70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Less: LCs pledged to secure local agency deposits</w:t>
            </w:r>
          </w:p>
        </w:tc>
        <w:tc>
          <w:tcPr>
            <w:tcW w:w="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950,000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575,000</w:t>
            </w:r>
          </w:p>
        </w:tc>
      </w:tr>
      <w:tr>
        <w:trPr>
          <w:trHeight w:val="236"/>
        </w:trPr>
        <w:tc>
          <w:tcPr>
            <w:tcW w:w="20" w:type="dxa"/>
            <w:vAlign w:val="bottom"/>
            <w:shd w:val="clear" w:color="auto" w:fill="CCEEFF"/>
          </w:tcPr>
          <w:p>
            <w:pPr>
              <w:spacing w:after="0"/>
              <w:rPr>
                <w:sz w:val="20"/>
                <w:szCs w:val="20"/>
                <w:color w:val="auto"/>
              </w:rPr>
            </w:pPr>
          </w:p>
        </w:tc>
        <w:tc>
          <w:tcPr>
            <w:tcW w:w="70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LCs issued</w:t>
            </w:r>
          </w:p>
        </w:tc>
        <w:tc>
          <w:tcPr>
            <w:tcW w:w="20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1,162,000</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887,500</w:t>
            </w:r>
          </w:p>
        </w:tc>
      </w:tr>
      <w:tr>
        <w:trPr>
          <w:trHeight w:val="237"/>
        </w:trPr>
        <w:tc>
          <w:tcPr>
            <w:tcW w:w="20" w:type="dxa"/>
            <w:vAlign w:val="bottom"/>
          </w:tcPr>
          <w:p>
            <w:pPr>
              <w:spacing w:after="0"/>
              <w:rPr>
                <w:sz w:val="20"/>
                <w:szCs w:val="20"/>
                <w:color w:val="auto"/>
              </w:rPr>
            </w:pPr>
          </w:p>
        </w:tc>
        <w:tc>
          <w:tcPr>
            <w:tcW w:w="70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Available borrowing capacity with the FHLB</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552,154</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631,180</w:t>
            </w: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the ability to borrow from the Federal Reserve Discount Window. The borrowings were available at an interest rate of 4.00% as of September 30, 2026. At September 30, 2026 and December 31, 2025, the borrowing capacity under this arrangement was $1.1 billion and $957.4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respectively. There were no amounts outstanding at September 30, 2026 or December 31, 2025. The borrowing line is secured by certain liens on the Company’s loans and certain available-for-sale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2026 and December 31, 2025, the Company had five unsecured federal funds lines of credit totaling $185.0 million with five of its correspondent banks. The borrowings were available at interest rates ranging from 4.00% to 5.20% as of September 30, 2026. There were no amounts outstanding at September 30, 2026 or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Shareholders’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Earnings per Share (“EPS”)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Basic EPS is net income divided by the weighted average number of common shares outstanding during the period less average unvested restricted stock awards (“RSAs”). Diluted EPS includes the dilutive effect of additional potential common shares related to unvested RSAs and unvested performance-based restricted stock units (“PSUs”) using the treasury stock method. The Company has two forms of outstanding common stock: common stock and unvested RSAs. Holders of unvested RSAs receive non-forfeitable dividends at the same rate as common shareholders and they both share equally in undistributed earnings, and therefore the RSAs are considered participating securities. However, under the two-class method, the difference in EPS is not significant for these participating securities. PSUs represent the right to receive shares of common stock upon the achievement of specified performance conditions over a defined performance period. Unlike RSAs, PSUs do not carry voting rights or dividend rights prior to vesting, and the number of shares ultimately issued may range from zero to a maximum payout factor depending on the level of performance achieved relative to pre-established targets. PSUs are included in the diluted EPS calculation using the treasury stock method only to the extent the applicable performance conditions have been met or are considered probable of being met as of the end of the reporting period.</w:t>
      </w:r>
    </w:p>
    <w:p>
      <w:pPr>
        <w:sectPr>
          <w:pgSz w:w="11900" w:h="16838" w:orient="portrait"/>
          <w:cols w:equalWidth="0" w:num="1">
            <w:col w:w="11240"/>
          </w:cols>
          <w:pgMar w:left="320" w:top="1147" w:right="339" w:bottom="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8"/>
          <w:szCs w:val="18"/>
          <w:u w:val="single" w:color="auto"/>
          <w:color w:val="auto"/>
        </w:rPr>
        <w:t>Table 7.1: EPS</w:t>
      </w: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p>
      <w:pPr>
        <w:spacing w:after="0" w:line="36" w:lineRule="exact"/>
        <w:rPr>
          <w:sz w:val="20"/>
          <w:szCs w:val="20"/>
          <w:color w:val="auto"/>
        </w:rPr>
      </w:pPr>
    </w:p>
    <w:p>
      <w:pPr>
        <w:ind w:left="180" w:right="260" w:hanging="161"/>
        <w:spacing w:after="0" w:line="237" w:lineRule="auto"/>
        <w:rPr>
          <w:sz w:val="20"/>
          <w:szCs w:val="20"/>
          <w:color w:val="auto"/>
        </w:rPr>
      </w:pPr>
      <w:r>
        <w:rPr>
          <w:rFonts w:ascii="Times New Roman" w:cs="Times New Roman" w:eastAsia="Times New Roman" w:hAnsi="Times New Roman"/>
          <w:sz w:val="18"/>
          <w:szCs w:val="18"/>
          <w:color w:val="auto"/>
        </w:rPr>
        <w:t>Add: Dilutive effects of assumed vesting of restricted and performance-based stock</w:t>
      </w:r>
    </w:p>
    <w:p>
      <w:pPr>
        <w:spacing w:after="0" w:line="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Total dilutive weighted average common shares outstanding</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Basic EPS</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Diluted EPS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29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Three months ended</w:t>
            </w:r>
          </w:p>
        </w:tc>
        <w:tc>
          <w:tcPr>
            <w:tcW w:w="360" w:type="dxa"/>
            <w:vAlign w:val="bottom"/>
          </w:tcPr>
          <w:p>
            <w:pPr>
              <w:spacing w:after="0"/>
              <w:rPr>
                <w:sz w:val="20"/>
                <w:szCs w:val="20"/>
                <w:color w:val="auto"/>
              </w:rPr>
            </w:pPr>
          </w:p>
        </w:tc>
        <w:tc>
          <w:tcPr>
            <w:tcW w:w="270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83"/>
        </w:trPr>
        <w:tc>
          <w:tcPr>
            <w:tcW w:w="1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September 30,</w:t>
            </w: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243"/>
        </w:trPr>
        <w:tc>
          <w:tcPr>
            <w:tcW w:w="180" w:type="dxa"/>
            <w:vAlign w:val="bottom"/>
          </w:tcPr>
          <w:p>
            <w:pPr>
              <w:spacing w:after="0"/>
              <w:rPr>
                <w:sz w:val="21"/>
                <w:szCs w:val="21"/>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30, 2026</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September 30, 2025</w:t>
            </w:r>
          </w:p>
        </w:tc>
      </w:tr>
      <w:tr>
        <w:trPr>
          <w:trHeight w:val="237"/>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21,909</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59,929</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43,963</w:t>
            </w: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79"/>
        </w:trPr>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23,620,369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21,231,563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22,057,790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21,222,504</w:t>
            </w:r>
          </w:p>
        </w:tc>
      </w:tr>
      <w:tr>
        <w:trPr>
          <w:trHeight w:val="432"/>
        </w:trPr>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77,028</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50,255</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71,147</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45,823</w:t>
            </w:r>
          </w:p>
        </w:tc>
      </w:tr>
      <w:tr>
        <w:trPr>
          <w:trHeight w:val="237"/>
        </w:trPr>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23,697,397</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21,281,818</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22,128,937</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21,268,327</w:t>
            </w: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53"/>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43"/>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-1071245</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-642620</wp:posOffset>
            </wp:positionV>
            <wp:extent cx="7132320"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-307975</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-1422400</wp:posOffset>
            </wp:positionV>
            <wp:extent cx="7132320"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580"/>
            <w:col w:w="6220"/>
          </w:cols>
          <w:pgMar w:left="320" w:top="175" w:right="339" w:bottom="1440" w:gutter="0" w:footer="0" w:header="0"/>
        </w:sectPr>
      </w:pP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anti-dilutive shares at September 30, 2026 or September 30,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Dividends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declared on July 16, 2026, and the Company subsequently paid, a cash dividend of $0.25 per share, totaling $6.1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 Stock-Based Incentive Arrangement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stock-based compensation consists of RSAs granted under its historical stock-based incentive arrangement (the “Historical Incentive Plan”) and RSAs and PSUs issued under the Five Star Bancorp 2021 Equity Incentive Plan (the “Equity Incentive Plan”).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Historical Incentive Plan consisted of RSAs for certain executive officers of the Company. The arrangement provided that these executive officers would receive shares of restricted common stock of the Company that vested over three years, with the number of shares granted based upon achieving certain performance objectives. These objectives included, but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3" w:name="page34"/>
    <w:bookmarkEnd w:id="33"/>
    <w:p>
      <w:pPr>
        <w:jc w:val="both"/>
        <w:spacing w:after="0" w:line="266" w:lineRule="auto"/>
        <w:rPr>
          <w:sz w:val="20"/>
          <w:szCs w:val="20"/>
          <w:color w:val="auto"/>
        </w:rPr>
      </w:pPr>
      <w:r>
        <w:rPr>
          <w:rFonts w:ascii="Times New Roman" w:cs="Times New Roman" w:eastAsia="Times New Roman" w:hAnsi="Times New Roman"/>
          <w:sz w:val="18"/>
          <w:szCs w:val="18"/>
          <w:color w:val="auto"/>
        </w:rPr>
        <w:t>were not limited to, net income adjusted for the provision for credit losses, deposit growth, efficiency ratio, net interest margin, and asset quality. Compensation expense for RSAs granted under the Historical Incentive Plan was recognized over the service period, which is equal to the vesting period of the shares based on the fair value of the shares at issue date.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its IPO in May 2021, the Company granted RSAs under the Equity Incentive Plan to certain employees, officers, executives, and non-employee directors. Shares granted to non-employee directors vested immediately upon grant, while shares granted to certain employees, officers, and executives vest ratably over three, five, or seven years (as defined in the respective agreements). Since the completion of the IPO, the Company has granted RSAs under the Equity Incentive Plan to certain officers and executives, which vest ratably over three or five years (as defined in the respective agreements), and to directors, which vest over one year. All RSAs were granted at the fair value of common stock at the time of the award. The RSAs are considered fixed awards, as the number of shares and fair value are known at the date of grant and the fair value at the grant date is amortized over the service period.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Beginning in 2025, the Company granted PSUs under the Equity Incentive Plan to certain executives. Performance is measured over a three-year period and such PSUs cliff vest. Based on the achievement of certain pre-established goals, actual payouts can range from 0% to 150% of the target award. All PSUs were granted at the fair value of common stock at the time of the award. As such, the PSUs are considered variable awards, as the number of shares and fair value are not known at the date of grant. An estimate is made of the number of shares expected to vest based on the probability that the performance criteria will be achieved to determine the amount of compensation expense to be recognized. This estimate is re-evaluated quarterly, and total compensation expense is adjusted for any change in the current period. The estimate of the number of shares expected to vest is also used to accrue for dividends to be paid at the end of the vesting period.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2026, there were 1,277,489 shares available for future grant under the Equity Incentive Plan; this figure reflects shares reserved for grants and shares reserved for outstanding PSUs at target performance. The actual number of shares to be issued in connection with outstanding PSUs remains variable and is contingent upon the achievement of the applicable performance conditions at the end of the performance period, and therefore the shares ultimately issued may differ from the target amounts reflected herein.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$0.6 million and $0.4 million of non-cash stock compensation expense for the three months ended September 30, 2026 and September 30, 2025, respectively. The Company recognized $1.5 million and $1.0 million of non-cash stock compensation expense for the nine months ended September 30, 2026 and September 30, 2025, respectively.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2026, there was approximately $2.7 million of unrecognized compensation expense related to the 118,376 unvested RSAs. The holders of unvested RSAs are entitled to dividends at the same per-share ratio as holders of common stock. Tax benefits for dividends paid on unvested RSAs are recorded as tax benefits in the consolidated statements of income with a corresponding decrease to current taxes payable. Such tax benefits and related expense are expected to be recognized over the weighted average term remaining on the unvested RSAs of 1.52 years as of September 30, 2026. The impact of tax benefits for dividends paid on unvested RSAs on the Company’s unaudited consolidated statements of income for the three and nine months ended September 30, 2026 and September 30, 2025 was immaterial.</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Table 7.2 summarizes activity related to restricted shares for the periods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7.2: Unvested RSA Activity</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160" w:type="dxa"/>
            <w:vAlign w:val="bottom"/>
            <w:gridSpan w:val="11"/>
          </w:tcPr>
          <w:p>
            <w:pPr>
              <w:ind w:left="280"/>
              <w:spacing w:after="0"/>
              <w:rPr>
                <w:sz w:val="20"/>
                <w:szCs w:val="20"/>
                <w:color w:val="auto"/>
              </w:rPr>
            </w:pPr>
            <w:r>
              <w:rPr>
                <w:rFonts w:ascii="Times New Roman" w:cs="Times New Roman" w:eastAsia="Times New Roman" w:hAnsi="Times New Roman"/>
                <w:sz w:val="18"/>
                <w:szCs w:val="18"/>
                <w:color w:val="auto"/>
              </w:rPr>
              <w:t>For the three months ended September 30,</w:t>
            </w:r>
          </w:p>
        </w:tc>
        <w:tc>
          <w:tcPr>
            <w:tcW w:w="4580" w:type="dxa"/>
            <w:vAlign w:val="bottom"/>
            <w:gridSpan w:val="10"/>
          </w:tcPr>
          <w:p>
            <w:pPr>
              <w:jc w:val="right"/>
              <w:ind w:right="690"/>
              <w:spacing w:after="0"/>
              <w:rPr>
                <w:sz w:val="20"/>
                <w:szCs w:val="20"/>
                <w:color w:val="auto"/>
              </w:rPr>
            </w:pPr>
            <w:r>
              <w:rPr>
                <w:rFonts w:ascii="Times New Roman" w:cs="Times New Roman" w:eastAsia="Times New Roman" w:hAnsi="Times New Roman"/>
                <w:sz w:val="18"/>
                <w:szCs w:val="18"/>
                <w:color w:val="auto"/>
              </w:rPr>
              <w:t>For the nine months ended September 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4"/>
              </w:rPr>
              <w:t>2026</w:t>
            </w:r>
          </w:p>
        </w:tc>
        <w:tc>
          <w:tcPr>
            <w:tcW w:w="9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9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4"/>
              </w:rPr>
              <w:t>2026</w:t>
            </w:r>
          </w:p>
        </w:tc>
        <w:tc>
          <w:tcPr>
            <w:tcW w:w="9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9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20"/>
              <w:spacing w:after="0" w:line="196" w:lineRule="exact"/>
              <w:rPr>
                <w:sz w:val="20"/>
                <w:szCs w:val="20"/>
                <w:color w:val="auto"/>
              </w:rPr>
            </w:pPr>
            <w:r>
              <w:rPr>
                <w:rFonts w:ascii="Times New Roman" w:cs="Times New Roman" w:eastAsia="Times New Roman" w:hAnsi="Times New Roman"/>
                <w:sz w:val="18"/>
                <w:szCs w:val="18"/>
                <w:color w:val="auto"/>
                <w:w w:val="97"/>
              </w:rPr>
              <w:t>Weighted</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00"/>
              <w:spacing w:after="0" w:line="196" w:lineRule="exact"/>
              <w:rPr>
                <w:sz w:val="20"/>
                <w:szCs w:val="20"/>
                <w:color w:val="auto"/>
              </w:rPr>
            </w:pPr>
            <w:r>
              <w:rPr>
                <w:rFonts w:ascii="Times New Roman" w:cs="Times New Roman" w:eastAsia="Times New Roman" w:hAnsi="Times New Roman"/>
                <w:sz w:val="18"/>
                <w:szCs w:val="18"/>
                <w:color w:val="auto"/>
                <w:w w:val="99"/>
              </w:rPr>
              <w:t>Weighted</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300"/>
              <w:spacing w:after="0" w:line="196" w:lineRule="exact"/>
              <w:rPr>
                <w:sz w:val="20"/>
                <w:szCs w:val="20"/>
                <w:color w:val="auto"/>
              </w:rPr>
            </w:pPr>
            <w:r>
              <w:rPr>
                <w:rFonts w:ascii="Times New Roman" w:cs="Times New Roman" w:eastAsia="Times New Roman" w:hAnsi="Times New Roman"/>
                <w:sz w:val="18"/>
                <w:szCs w:val="18"/>
                <w:color w:val="auto"/>
                <w:w w:val="97"/>
              </w:rPr>
              <w:t>Weighted</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Average Grant</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Average Grant</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7"/>
              </w:rPr>
              <w:t>Average Grant</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Average Grant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2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8"/>
                <w:szCs w:val="18"/>
                <w:color w:val="auto"/>
              </w:rPr>
              <w:t>Date Fair</w:t>
            </w: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center"/>
              <w:ind w:right="300"/>
              <w:spacing w:after="0" w:line="181" w:lineRule="exact"/>
              <w:rPr>
                <w:sz w:val="20"/>
                <w:szCs w:val="20"/>
                <w:color w:val="auto"/>
              </w:rPr>
            </w:pPr>
            <w:r>
              <w:rPr>
                <w:rFonts w:ascii="Times New Roman" w:cs="Times New Roman" w:eastAsia="Times New Roman" w:hAnsi="Times New Roman"/>
                <w:sz w:val="18"/>
                <w:szCs w:val="18"/>
                <w:color w:val="auto"/>
                <w:w w:val="97"/>
              </w:rPr>
              <w:t>Date Fair</w:t>
            </w:r>
          </w:p>
        </w:tc>
        <w:tc>
          <w:tcPr>
            <w:tcW w:w="9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center"/>
              <w:ind w:right="300"/>
              <w:spacing w:after="0" w:line="181" w:lineRule="exact"/>
              <w:rPr>
                <w:sz w:val="20"/>
                <w:szCs w:val="20"/>
                <w:color w:val="auto"/>
              </w:rPr>
            </w:pPr>
            <w:r>
              <w:rPr>
                <w:rFonts w:ascii="Times New Roman" w:cs="Times New Roman" w:eastAsia="Times New Roman" w:hAnsi="Times New Roman"/>
                <w:sz w:val="18"/>
                <w:szCs w:val="18"/>
                <w:color w:val="auto"/>
              </w:rPr>
              <w:t>Date Fair</w:t>
            </w: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rPr>
              <w:t>Date Fair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Value</w:t>
            </w: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Value</w:t>
            </w: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2"/>
              </w:rPr>
              <w:t>Value</w:t>
            </w: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Balance at beginning of</w:t>
            </w:r>
          </w:p>
        </w:tc>
        <w:tc>
          <w:tcPr>
            <w:tcW w:w="4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period</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120,761</w:t>
            </w:r>
          </w:p>
        </w:tc>
        <w:tc>
          <w:tcPr>
            <w:tcW w:w="3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129,448</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124,747</w:t>
            </w:r>
          </w:p>
        </w:tc>
        <w:tc>
          <w:tcPr>
            <w:tcW w:w="3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120,577</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granted</w:t>
            </w:r>
          </w:p>
        </w:tc>
        <w:tc>
          <w:tcPr>
            <w:tcW w:w="4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vested</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2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Shares forfeited</w:t>
            </w:r>
          </w:p>
        </w:tc>
        <w:tc>
          <w:tcPr>
            <w:tcW w:w="4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118,376</w:t>
            </w:r>
          </w:p>
        </w:tc>
        <w:tc>
          <w:tcPr>
            <w:tcW w:w="3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135,844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118,376</w:t>
            </w:r>
          </w:p>
        </w:tc>
        <w:tc>
          <w:tcPr>
            <w:tcW w:w="3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135,844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2026, there was approximately $1.3 million of unrecognized compensation expense related to the 48,900 unvested PSUs. This amount is estimated based on the assumption that performance conditions will be achieved at the 100% target payout level and is subject to adjustment each quarter as performance expectations are updated. The actual number of shares ultimately earned may range from 0% to 150% of the target award, depending on the level of achievement of the applicable performance conditions.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Table 7.3 summarizes information about unvested PSUs. The weighted average grant date fair value is based on the fair value at the time of grant. The vesting of PSUs is subject to achievement of specified performance targets and continued employment.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7.3: Unvested PSU Activity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02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200" w:type="dxa"/>
            <w:vAlign w:val="bottom"/>
            <w:gridSpan w:val="11"/>
          </w:tcPr>
          <w:p>
            <w:pPr>
              <w:ind w:left="300"/>
              <w:spacing w:after="0"/>
              <w:rPr>
                <w:sz w:val="20"/>
                <w:szCs w:val="20"/>
                <w:color w:val="auto"/>
              </w:rPr>
            </w:pPr>
            <w:r>
              <w:rPr>
                <w:rFonts w:ascii="Times New Roman" w:cs="Times New Roman" w:eastAsia="Times New Roman" w:hAnsi="Times New Roman"/>
                <w:sz w:val="18"/>
                <w:szCs w:val="18"/>
                <w:color w:val="auto"/>
              </w:rPr>
              <w:t>For the three months ended September 30,</w:t>
            </w:r>
          </w:p>
        </w:tc>
        <w:tc>
          <w:tcPr>
            <w:tcW w:w="4560" w:type="dxa"/>
            <w:vAlign w:val="bottom"/>
            <w:gridSpan w:val="11"/>
          </w:tcPr>
          <w:p>
            <w:pPr>
              <w:jc w:val="right"/>
              <w:ind w:right="690"/>
              <w:spacing w:after="0"/>
              <w:rPr>
                <w:sz w:val="20"/>
                <w:szCs w:val="20"/>
                <w:color w:val="auto"/>
              </w:rPr>
            </w:pPr>
            <w:r>
              <w:rPr>
                <w:rFonts w:ascii="Times New Roman" w:cs="Times New Roman" w:eastAsia="Times New Roman" w:hAnsi="Times New Roman"/>
                <w:sz w:val="18"/>
                <w:szCs w:val="18"/>
                <w:color w:val="auto"/>
              </w:rPr>
              <w:t>For the nine months ended September 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4"/>
              </w:rPr>
              <w:t>2026</w:t>
            </w:r>
          </w:p>
        </w:tc>
        <w:tc>
          <w:tcPr>
            <w:tcW w:w="10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4"/>
              </w:rPr>
              <w:t>2025</w:t>
            </w:r>
          </w:p>
        </w:tc>
        <w:tc>
          <w:tcPr>
            <w:tcW w:w="9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2026</w:t>
            </w:r>
          </w:p>
        </w:tc>
        <w:tc>
          <w:tcPr>
            <w:tcW w:w="9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4"/>
              </w:rPr>
              <w:t>2025</w:t>
            </w:r>
          </w:p>
        </w:tc>
        <w:tc>
          <w:tcPr>
            <w:tcW w:w="9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210"/>
              <w:spacing w:after="0" w:line="196" w:lineRule="exact"/>
              <w:rPr>
                <w:sz w:val="20"/>
                <w:szCs w:val="20"/>
                <w:color w:val="auto"/>
              </w:rPr>
            </w:pPr>
            <w:r>
              <w:rPr>
                <w:rFonts w:ascii="Times New Roman" w:cs="Times New Roman" w:eastAsia="Times New Roman" w:hAnsi="Times New Roman"/>
                <w:sz w:val="18"/>
                <w:szCs w:val="18"/>
                <w:color w:val="auto"/>
                <w:w w:val="97"/>
              </w:rPr>
              <w:t>Weighted</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ind w:right="300"/>
              <w:spacing w:after="0" w:line="196" w:lineRule="exact"/>
              <w:rPr>
                <w:sz w:val="20"/>
                <w:szCs w:val="20"/>
                <w:color w:val="auto"/>
              </w:rPr>
            </w:pPr>
            <w:r>
              <w:rPr>
                <w:rFonts w:ascii="Times New Roman" w:cs="Times New Roman" w:eastAsia="Times New Roman" w:hAnsi="Times New Roman"/>
                <w:sz w:val="18"/>
                <w:szCs w:val="18"/>
                <w:color w:val="auto"/>
                <w:w w:val="97"/>
              </w:rPr>
              <w:t>Weighted</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300"/>
              <w:spacing w:after="0" w:line="196" w:lineRule="exact"/>
              <w:rPr>
                <w:sz w:val="20"/>
                <w:szCs w:val="20"/>
                <w:color w:val="auto"/>
              </w:rPr>
            </w:pPr>
            <w:r>
              <w:rPr>
                <w:rFonts w:ascii="Times New Roman" w:cs="Times New Roman" w:eastAsia="Times New Roman" w:hAnsi="Times New Roman"/>
                <w:sz w:val="18"/>
                <w:szCs w:val="18"/>
                <w:color w:val="auto"/>
                <w:w w:val="97"/>
              </w:rPr>
              <w:t>Weighted</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0"/>
              <w:spacing w:after="0" w:line="184" w:lineRule="exact"/>
              <w:rPr>
                <w:sz w:val="20"/>
                <w:szCs w:val="20"/>
                <w:color w:val="auto"/>
              </w:rPr>
            </w:pPr>
            <w:r>
              <w:rPr>
                <w:rFonts w:ascii="Times New Roman" w:cs="Times New Roman" w:eastAsia="Times New Roman" w:hAnsi="Times New Roman"/>
                <w:sz w:val="18"/>
                <w:szCs w:val="18"/>
                <w:color w:val="auto"/>
                <w:w w:val="97"/>
              </w:rPr>
              <w:t>Average Grant</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7"/>
              </w:rPr>
              <w:t>Average Grant</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7"/>
              </w:rPr>
              <w:t>Average Grant</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Average Grant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4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ind w:right="210"/>
              <w:spacing w:after="0" w:line="181" w:lineRule="exact"/>
              <w:rPr>
                <w:sz w:val="20"/>
                <w:szCs w:val="20"/>
                <w:color w:val="auto"/>
              </w:rPr>
            </w:pPr>
            <w:r>
              <w:rPr>
                <w:rFonts w:ascii="Times New Roman" w:cs="Times New Roman" w:eastAsia="Times New Roman" w:hAnsi="Times New Roman"/>
                <w:sz w:val="18"/>
                <w:szCs w:val="18"/>
                <w:color w:val="auto"/>
              </w:rPr>
              <w:t>Date Fair</w:t>
            </w:r>
          </w:p>
        </w:tc>
        <w:tc>
          <w:tcPr>
            <w:tcW w:w="9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ind w:right="300"/>
              <w:spacing w:after="0" w:line="181" w:lineRule="exact"/>
              <w:rPr>
                <w:sz w:val="20"/>
                <w:szCs w:val="20"/>
                <w:color w:val="auto"/>
              </w:rPr>
            </w:pPr>
            <w:r>
              <w:rPr>
                <w:rFonts w:ascii="Times New Roman" w:cs="Times New Roman" w:eastAsia="Times New Roman" w:hAnsi="Times New Roman"/>
                <w:sz w:val="18"/>
                <w:szCs w:val="18"/>
                <w:color w:val="auto"/>
              </w:rPr>
              <w:t>Date Fair</w:t>
            </w:r>
          </w:p>
        </w:tc>
        <w:tc>
          <w:tcPr>
            <w:tcW w:w="9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center"/>
              <w:ind w:right="300"/>
              <w:spacing w:after="0" w:line="181" w:lineRule="exact"/>
              <w:rPr>
                <w:sz w:val="20"/>
                <w:szCs w:val="20"/>
                <w:color w:val="auto"/>
              </w:rPr>
            </w:pPr>
            <w:r>
              <w:rPr>
                <w:rFonts w:ascii="Times New Roman" w:cs="Times New Roman" w:eastAsia="Times New Roman" w:hAnsi="Times New Roman"/>
                <w:sz w:val="18"/>
                <w:szCs w:val="18"/>
                <w:color w:val="auto"/>
              </w:rPr>
              <w:t>Date Fair</w:t>
            </w:r>
          </w:p>
        </w:tc>
        <w:tc>
          <w:tcPr>
            <w:tcW w:w="9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rPr>
              <w:t>Date Fair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2"/>
              </w:rPr>
              <w:t>Value</w:t>
            </w: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2"/>
              </w:rPr>
              <w:t>Value</w:t>
            </w: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2"/>
              </w:rPr>
              <w:t>Value</w:t>
            </w: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Balance at beginning of</w:t>
            </w:r>
          </w:p>
        </w:tc>
        <w:tc>
          <w:tcPr>
            <w:tcW w:w="4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period</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48,900</w:t>
            </w:r>
          </w:p>
        </w:tc>
        <w:tc>
          <w:tcPr>
            <w:tcW w:w="3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36.87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23,110</w:t>
            </w:r>
          </w:p>
        </w:tc>
        <w:tc>
          <w:tcPr>
            <w:tcW w:w="3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2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Shares granted</w:t>
            </w:r>
          </w:p>
        </w:tc>
        <w:tc>
          <w:tcPr>
            <w:tcW w:w="4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23,110</w:t>
            </w: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25,790</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23,110</w:t>
            </w: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48,900</w:t>
            </w:r>
          </w:p>
        </w:tc>
        <w:tc>
          <w:tcPr>
            <w:tcW w:w="3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36.87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23,110</w:t>
            </w:r>
          </w:p>
        </w:tc>
        <w:tc>
          <w:tcPr>
            <w:tcW w:w="3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48,900</w:t>
            </w:r>
          </w:p>
        </w:tc>
        <w:tc>
          <w:tcPr>
            <w:tcW w:w="3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23,110</w:t>
            </w:r>
          </w:p>
        </w:tc>
        <w:tc>
          <w:tcPr>
            <w:tcW w:w="3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Table 7.3 shows the target number of PSUs awarded. Vesting of the PSUs is based on achievement of the Company’s three-year average return on average assets for the performance period relative to a peer group of publicly traded banks and bank holding companies utilizing the S&amp;P Global Broad Market Index - Western Region. If the Company’s performance is at the 60th percentile, 70th percentile, or 80th percentile or above, the recipients are entitled to receive 50%, 100%, or 150% of their target award grant,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with Off-Balance-Sheet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financial instruments, such as loan commitments, credit lines, letters of credit, and overdraft protection, are issued to meet customer financing needs. These are agreements to provide credit or to support the credit of others, as long as conditions established in the contract are met, and usually have expiration dates. Commitments may expire without being used. Substantially all of these commitments are at variable interest rates, based on an index, and have fixed expiration dates.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8"/>
          <w:szCs w:val="18"/>
          <w:color w:val="auto"/>
        </w:rPr>
        <w:t>Off-balance-sheet risk to loan loss exists up to the face amount of these instruments, although material losses are not anticipated. The Company uses the same credit policies in making commitments to originate loans and lines of credit as it does for on-balance-sheet instruments, including obtaining collateral at exercise of the commitment. The contractual amounts of unfunded loan commitments and standby letters of credit not reflected in the unaudited consolidated balance sheets at the dates indicated are presented in Table 8.1.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8.1: Unfunded Loan Commitments and Standby Letters of Credit</w:t>
            </w: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63"/>
        </w:trPr>
        <w:tc>
          <w:tcPr>
            <w:tcW w:w="20" w:type="dxa"/>
            <w:vAlign w:val="bottom"/>
          </w:tcPr>
          <w:p>
            <w:pPr>
              <w:spacing w:after="0"/>
              <w:rPr>
                <w:sz w:val="22"/>
                <w:szCs w:val="22"/>
                <w:color w:val="auto"/>
              </w:rPr>
            </w:pPr>
          </w:p>
        </w:tc>
        <w:tc>
          <w:tcPr>
            <w:tcW w:w="5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 2026</w:t>
            </w:r>
          </w:p>
        </w:tc>
        <w:tc>
          <w:tcPr>
            <w:tcW w:w="200" w:type="dxa"/>
            <w:vAlign w:val="bottom"/>
          </w:tcPr>
          <w:p>
            <w:pPr>
              <w:spacing w:after="0"/>
              <w:rPr>
                <w:sz w:val="22"/>
                <w:szCs w:val="22"/>
                <w:color w:val="auto"/>
              </w:rPr>
            </w:pPr>
          </w:p>
        </w:tc>
        <w:tc>
          <w:tcPr>
            <w:tcW w:w="1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37"/>
        </w:trPr>
        <w:tc>
          <w:tcPr>
            <w:tcW w:w="20" w:type="dxa"/>
            <w:vAlign w:val="bottom"/>
            <w:tcBorders>
              <w:top w:val="single" w:sz="8" w:color="CCEEFF"/>
            </w:tcBorders>
            <w:shd w:val="clear" w:color="auto" w:fill="CCEEFF"/>
          </w:tcPr>
          <w:p>
            <w:pPr>
              <w:spacing w:after="0"/>
              <w:rPr>
                <w:sz w:val="20"/>
                <w:szCs w:val="20"/>
                <w:color w:val="auto"/>
              </w:rPr>
            </w:pPr>
          </w:p>
        </w:tc>
        <w:tc>
          <w:tcPr>
            <w:tcW w:w="70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lines of credit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322,805</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287,988</w:t>
            </w:r>
          </w:p>
        </w:tc>
      </w:tr>
      <w:tr>
        <w:trPr>
          <w:trHeight w:val="243"/>
        </w:trPr>
        <w:tc>
          <w:tcPr>
            <w:tcW w:w="20" w:type="dxa"/>
            <w:vAlign w:val="bottom"/>
          </w:tcPr>
          <w:p>
            <w:pPr>
              <w:spacing w:after="0"/>
              <w:rPr>
                <w:sz w:val="21"/>
                <w:szCs w:val="21"/>
                <w:color w:val="auto"/>
              </w:rPr>
            </w:pPr>
          </w:p>
        </w:tc>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Undisbursed commercial real estate loans</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94,559</w:t>
            </w:r>
          </w:p>
        </w:tc>
      </w:tr>
      <w:tr>
        <w:trPr>
          <w:trHeight w:val="243"/>
        </w:trPr>
        <w:tc>
          <w:tcPr>
            <w:tcW w:w="20" w:type="dxa"/>
            <w:vAlign w:val="bottom"/>
            <w:shd w:val="clear" w:color="auto" w:fill="CCEEFF"/>
          </w:tcPr>
          <w:p>
            <w:pPr>
              <w:spacing w:after="0"/>
              <w:rPr>
                <w:sz w:val="21"/>
                <w:szCs w:val="21"/>
                <w:color w:val="auto"/>
              </w:rPr>
            </w:pPr>
          </w:p>
        </w:tc>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Undisbursed construction loans</w:t>
            </w: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111,372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82,420</w:t>
            </w:r>
          </w:p>
        </w:tc>
      </w:tr>
      <w:tr>
        <w:trPr>
          <w:trHeight w:val="243"/>
        </w:trPr>
        <w:tc>
          <w:tcPr>
            <w:tcW w:w="20" w:type="dxa"/>
            <w:vAlign w:val="bottom"/>
          </w:tcPr>
          <w:p>
            <w:pPr>
              <w:spacing w:after="0"/>
              <w:rPr>
                <w:sz w:val="21"/>
                <w:szCs w:val="21"/>
                <w:color w:val="auto"/>
              </w:rPr>
            </w:pPr>
          </w:p>
        </w:tc>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Agricultural lines of credit</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26,236</w:t>
            </w:r>
          </w:p>
        </w:tc>
      </w:tr>
      <w:tr>
        <w:trPr>
          <w:trHeight w:val="243"/>
        </w:trPr>
        <w:tc>
          <w:tcPr>
            <w:tcW w:w="20" w:type="dxa"/>
            <w:vAlign w:val="bottom"/>
            <w:shd w:val="clear" w:color="auto" w:fill="CCEEFF"/>
          </w:tcPr>
          <w:p>
            <w:pPr>
              <w:spacing w:after="0"/>
              <w:rPr>
                <w:sz w:val="21"/>
                <w:szCs w:val="21"/>
                <w:color w:val="auto"/>
              </w:rPr>
            </w:pPr>
          </w:p>
        </w:tc>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Undisbursed residential real estate loans</w:t>
            </w: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5,965</w:t>
            </w:r>
          </w:p>
        </w:tc>
      </w:tr>
      <w:tr>
        <w:trPr>
          <w:trHeight w:val="243"/>
        </w:trPr>
        <w:tc>
          <w:tcPr>
            <w:tcW w:w="20" w:type="dxa"/>
            <w:vAlign w:val="bottom"/>
          </w:tcPr>
          <w:p>
            <w:pPr>
              <w:spacing w:after="0"/>
              <w:rPr>
                <w:sz w:val="21"/>
                <w:szCs w:val="21"/>
                <w:color w:val="auto"/>
              </w:rPr>
            </w:pPr>
          </w:p>
        </w:tc>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Undisbursed agricultural real estate loans</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w:t>
            </w:r>
          </w:p>
        </w:tc>
      </w:tr>
      <w:tr>
        <w:trPr>
          <w:trHeight w:val="243"/>
        </w:trPr>
        <w:tc>
          <w:tcPr>
            <w:tcW w:w="20" w:type="dxa"/>
            <w:vAlign w:val="bottom"/>
            <w:shd w:val="clear" w:color="auto" w:fill="CCEEFF"/>
          </w:tcPr>
          <w:p>
            <w:pPr>
              <w:spacing w:after="0"/>
              <w:rPr>
                <w:sz w:val="21"/>
                <w:szCs w:val="21"/>
                <w:color w:val="auto"/>
              </w:rPr>
            </w:pPr>
          </w:p>
        </w:tc>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r>
      <w:tr>
        <w:trPr>
          <w:trHeight w:val="237"/>
        </w:trPr>
        <w:tc>
          <w:tcPr>
            <w:tcW w:w="20" w:type="dxa"/>
            <w:vAlign w:val="bottom"/>
          </w:tcPr>
          <w:p>
            <w:pPr>
              <w:spacing w:after="0"/>
              <w:rPr>
                <w:sz w:val="20"/>
                <w:szCs w:val="20"/>
                <w:color w:val="auto"/>
              </w:rPr>
            </w:pPr>
          </w:p>
        </w:tc>
        <w:tc>
          <w:tcPr>
            <w:tcW w:w="7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commitments and standby letters of credit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672,963</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503,265</w:t>
            </w: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an allowance for credit losses on unfunded loan commitments at the consolidated balance sheet date based on estimates of the probability that these commitments will be drawn upon according to historical utilization experience of the different types of commitments and historical loss rates determined for pooled funded loans. The allowance for credit losses on unfunded commitments totaled $0.9 million as of September 30, 2026 and $0.7 million as of December 31, 2025, which is recorded in “Interest payable and other liabilities” in the unaudited consolidated balance sheets.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Concentrations of credit risk</w:t>
      </w:r>
      <w:r>
        <w:rPr>
          <w:rFonts w:ascii="Times New Roman" w:cs="Times New Roman" w:eastAsia="Times New Roman" w:hAnsi="Times New Roman"/>
          <w:sz w:val="18"/>
          <w:szCs w:val="18"/>
          <w:color w:val="auto"/>
        </w:rPr>
        <w:t>: The Company grants real estate mortgage, real estate construction, commercial, and consumer loans to customers primarily in California. Although the Company has a diversified loan portfolio, a substantial portion is secured by commercial and residential real estate.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management’s judgment, a concentration of loans exists in real estate related loans, which represented approximately 83.47% of the Company’s loan portfolio at September 30, 2026 and 86.07% of the Company’s loan portfolio at December 31, 2025. Although management believes such concentrations have no more than the normal risk of collectability, a substantial decline in the economy in general, or a decline in real estate values in the Company’s primary market areas in particular, could have an adverse impact on the collectability of these loans. Personal and business incomes represent the primary source of repayment for the majority of these loans.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Deposit concentrations</w:t>
      </w:r>
      <w:r>
        <w:rPr>
          <w:rFonts w:ascii="Times New Roman" w:cs="Times New Roman" w:eastAsia="Times New Roman" w:hAnsi="Times New Roman"/>
          <w:sz w:val="18"/>
          <w:szCs w:val="18"/>
          <w:color w:val="auto"/>
        </w:rPr>
        <w:t>: At September 30, 2026, the Company had 160 deposit relationships that exceeded $5.0 million each, totaling $3.0 billion, or approximately 62.44% of total deposits. The Company’s largest single deposit relationship at September 30, 2026 totaled $304.0 million, or approximately 6.30% of total deposits. Management maintains the Company’s liquidity position and lines of credit with correspondent banks to mitigate the risk of large withdrawals by this group of large depositors.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Contingencies and litigation matters</w:t>
      </w:r>
      <w:r>
        <w:rPr>
          <w:rFonts w:ascii="Times New Roman" w:cs="Times New Roman" w:eastAsia="Times New Roman" w:hAnsi="Times New Roman"/>
          <w:sz w:val="18"/>
          <w:szCs w:val="18"/>
          <w:color w:val="auto"/>
        </w:rPr>
        <w:t>: The Company is subject to legal proceedings and claims which arise in the ordinary course of business. In the opinion of management, the amount of ultimate liability with respect to such actions will not materially adversely affect the consolidated financial position or results of operations of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Correspondent banking agreements</w:t>
      </w:r>
      <w:r>
        <w:rPr>
          <w:rFonts w:ascii="Times New Roman" w:cs="Times New Roman" w:eastAsia="Times New Roman" w:hAnsi="Times New Roman"/>
          <w:sz w:val="18"/>
          <w:szCs w:val="18"/>
          <w:color w:val="auto"/>
        </w:rPr>
        <w:t>: The Company maintains funds on deposit with other FDIC-insured financial institutions under correspondent banking agreements. Uninsured deposits through these agreements totaled approximately $39.8 million and $27.4 million at September 30, 2026 and December 31, 2025,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Equity investments</w:t>
      </w:r>
      <w:r>
        <w:rPr>
          <w:rFonts w:ascii="Times New Roman" w:cs="Times New Roman" w:eastAsia="Times New Roman" w:hAnsi="Times New Roman"/>
          <w:sz w:val="18"/>
          <w:szCs w:val="18"/>
          <w:color w:val="auto"/>
        </w:rPr>
        <w:t>: The Company is a limited partner and has committed to and is invested in a limited number of venture-backed capital funds. As of September 30, 2026 and December 31, 2025, the balance of these investments totaled approximately $15.6 million and $12.1 million, respectively. As of September 30, 2026 and December 31, 2025, the estimated remaining commitment for these funds totaled $9.8 million and $13.7 million,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Note 9: Subsequent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15, 2026, the board of directors of the Company declared a cash dividend of $0.25 per common share, which the Company expects to pay on November 9, 2026 to shareholders of record as of November 2, 2026.</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presents management’s perspective on our results of operations and financial condition on a consolidated basis. However, because we conduct all of our material business operations through our bank subsidiary, Five Star Bank, the discussion and analysis relate to activities primarily conducted by the Bank.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Management’s discussion of the financial condition and results of operations, which is unaudited, should be read in conjunction with the related unaudited consolidated financial statements and accompanying notes in this Quarterly Report on Form 10-Q and the audited consolidated financial statements and accompanying notes included in the 2025 Annual Report on Form 10-K, which was filed with the SEC on February 27, 2026. Average balances, including balances used in calculating certain financial ratios, are generally comprised of average daily balances.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indicated, references in this report to “we,” “our,” “us,” “the Company,” or “Bancorp” refer to Five Star Bancorp and our consolidated subsidiary. All references to “the Bank” refer to Five Star Bank, our wholly owned subsidiary.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forward-looking statements represent plans, estimates, objectives, goals, guidelines, expectations, intentions, projections, and statements of our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phrases of similar meaning. To the extent that this discussion describes prior performance, the descriptions relate only to the periods listed, which may not be indicative of our future financial outcomes. We caution that the forward-looking statements are based largely on our expectations and are subject to a number of known and unknown risks and uncertainties that are subject to change based on factors which are, in many instances, beyond our control. Such forward-looking statements are based on various assumptions (some of which may be beyond our control) and are subject to risks and uncertainties, which change over time, and other factors which could cause actual results to differ materially from those currently anticipated. Such risks and uncertainties include, but are not limited to:</w:t>
      </w:r>
    </w:p>
    <w:p>
      <w:pPr>
        <w:spacing w:after="0" w:line="138" w:lineRule="exact"/>
        <w:rPr>
          <w:sz w:val="20"/>
          <w:szCs w:val="20"/>
          <w:color w:val="auto"/>
        </w:rPr>
      </w:pPr>
    </w:p>
    <w:p>
      <w:pPr>
        <w:ind w:left="66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concentration of our business in California, and specifically within Northern California, including risks associated with any downturn in the real estate sector;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interest rates that affect the pricing of our loans and deposits, our net interest income, and our borrowers’ ability to repay loans;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 economy, including an economic slowdown, recession, inflation, deflation, tariffs, housing prices, employment levels, rate of growth, and general business conditions;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market conditions and economic trends nationally, regionally, and particularly in Northern California and California;</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soundness of other financial institutions and the impacts related to or resulting from bank failures and other economic and industry volatility, including increased regulatory requirements and costs and potential impacts to macroeconomic conditions;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recent and future legislative and regulatory changes, including changes in banking, securities, and tax laws and regulations and their application by our regulators;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from a wide variety of local, regional, national, and other providers of financial and investment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our loan portfolios, and specifically with our commercial real estate loans;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liquidity and to maintain capital necessary to fund our growth strategy and operations and to satisfy minimum regulatory capital levels;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strategic focus on lending to small- to medium-sized businesses;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the assumptions and estimates we make in establishing reserves for potential credit losses and the value of loan collateral and securities;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nonperforming assets and the costs associated with resolving problem loans, if 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8" w:name="page39"/>
    <w:bookmarkEnd w:id="38"/>
    <w:p>
      <w:pPr>
        <w:ind w:left="660" w:right="2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various governmental and regulatory requirements applicable to financial institutions, including supervisory actions by federal and state banking agencies;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monetary and fiscal policies, including the policies of the Federal Reserve;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unauthorized access, cybersecurity breaches, cyber-crime, and other threats and disruptions to data security;</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maintain, and improve an effective risk management framework, disclosure controls and procedures, and internal controls over financial reporting;</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adopt and successfully integrate new initiatives or technologies into our business in a strategic manner;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executive officers and key employees and their customer and community relationships;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future U.S. federal government shutdown and uncertainty regarding the U.S. federal government’s debt limit and credit rating;</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or impact of climate change or natural or man-made disasters or calamities, such as wildfires, droughts, mudslides, floods, and earthquakes, and particularly in California, and specifically Northern California;</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impact of local, regional, and global business, economic, and political conditions and geopolitical events, such as pandemics, civil unrest, wars, and acts of terrorism;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are discussed in the section entitled “Management’s Discussion and Analysis of Financial Condition and Results of Operations.”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foregoing factors could cause results or performance to materially differ from those expressed in our forward-looking statements, should not be considered exhaustive, and should be read together with other cautionary statements that are included in this report and those discussed in the section entitled “Risk Factors” of our 2025 Annual Report on Form 10-K, our Quarterly Reports on Form 10-Q for the three months ended March 31, 2026 and June 30, 2026, and other filings we may make with the SEC, copies of which are available from us at no charge. New risks and uncertainties may emerge from time to time, and it is not possible for us to predict their occurrence or how they will affect us. If one or more of the factors affecting our forward-looking information and statements proves incorrect, then our actual results, performance, or achievements could differ materially from those expressed in, or implied by, forward-looking information and statements contained in this Quarterly Report on Form 10-Q. Therefore, we caution you not to place undue reliance on our forward-looking information and statements. We disclaim any duty to revise or update the forward-looking statements, whether written or oral, to reflect actual results or changes in the factors affecting the forward-looking statements, except as specifically required by law.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Headquartered in the greater Sacramento metropolitan area of California, Five Star Bancorp is a bank holding company that operates through its wholly owned subsidiary, Five Star Bank, a California state-chartered non-member bank. We provide a broad range of banking products and services to small and medium-sized businesses, professionals, and individuals primarily in California through ten branch offices. Our mission is to strive to become the top business bank in all markets we serve through exceptional service, deep connectivity, and customer empathy. We are dedicated to serving real estate, agricultural, faith-based, and small- to medium-sized enterprises. We aim to consistently deliver value that meets or exceeds the expectations of our shareholders, customers, employees, business partners, and community. We refer to our mission as “purpose-driven and integrity-centered banking.” At September 30, 2026, we had total assets of $5.6 billion, total loans held for investment of $4.7 billion, and total deposits of $4.8 billion.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the instructions to Quarterly Reports on Form 10-Q and, therefore, do not include all footnotes as would be necessary for a fair presentation of financial position, results of operations and comprehensive income, changes in shareholders’ equity, and cash flows in conformity with GAAP as contained within the FASB’s ASC and the rules and regulations of the SEC, including the instructions to Regulation S-X. However,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9" w:name="page40"/>
    <w:bookmarkEnd w:id="39"/>
    <w:p>
      <w:pPr>
        <w:jc w:val="both"/>
        <w:spacing w:after="0" w:line="282" w:lineRule="auto"/>
        <w:rPr>
          <w:sz w:val="20"/>
          <w:szCs w:val="20"/>
          <w:color w:val="auto"/>
        </w:rPr>
      </w:pPr>
      <w:r>
        <w:rPr>
          <w:rFonts w:ascii="Times New Roman" w:cs="Times New Roman" w:eastAsia="Times New Roman" w:hAnsi="Times New Roman"/>
          <w:sz w:val="18"/>
          <w:szCs w:val="18"/>
          <w:color w:val="auto"/>
        </w:rPr>
        <w:t>a basis consistent with, and should be read in conjunction with, the audited consolidated financial statements as filed in our 2025 Annual Report on Form 10-K and the notes thereto.</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most significant accounting policies and our critical accounting estimates are described in greater detail in Note 1, Basis of Presentation, in the notes to our audited consolidated financial statements and Item 7. Management’s Discussion and Analysis of Financial Condition and Results of Operations - Critical Accounting Estimates included in our 2025 Annual Report on Form 10-K. We have identified accounting policies and estimates that, due to the difficult, subjective, or complex judgments and assumptions inherent in those policies and estimates and the potential sensitivity of our unaudited consolidated financial statements to those judgments and assumptions, are critical to an understanding of our consolidated financial condition and results of operations. We believe that the judgments, estimates, and assumptions used in the preparation of our financial statements are reasonable and appropriate, based on the information available at the time they were made. However, actual results may differ from those estimates, and these differences may be material. There have been no significant changes concerning our critical accounting estimates as described in our 2025 Annual Report on Form 10-K.</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JOBS Act, as an emerging growth company, we can elect to opt out of the extended transition period for adopting any new or revised accounting standards. We have elected not to opt out of the extended transition period, which means that when a standard is issued or revised and it has different application dates for public and private companies, we may adopt the standard on the application date for private companies. However, we may early adopt certain accounting standards, as the JOBS Act does not preclude an emerging growth company from adopting a new or revised accounting standard earlier than the time that such standard applies to private companies to the extent early adoption is permitted.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elected to take advantage of the scaled disclosures and other relief under the JOBS Act, and we may take advantage of some or all of the reduced regulatory and reporting requirements that will be available to us under the JOBS Act, so long as we qualify as an emerging growth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credit losses represents the estimated expected credit losses in our loan and investment portfolios and is estimated as of September 30, 2026 using Current Expected Credit Loss (“CECL”). The allowance for credit losses is established through a provision for credit losses charged to operations. Loans and investments are charged against the allowance for credit losses when management believes that the collectability of the principal is unlikely. Subsequent recoveries of previously charged-off amounts, if any, are credited to the allowance for credit losses.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allowance for credit losses is evaluated on a regular basis by management in consideration of optimistic, moderate, and pessimistic current conditions, and is based on management’s periodic review of the collectability of the loans in light of historical experience, the nature and volume of the loan portfolio, adverse situations that may affect the borrower’s ability to repay, estimated value of any underlying collateral, prevailing economic conditions specifically impacting each loan type by purpose and by geography, and concentrations within the loan portfolio. This evaluation is inherently subjective, as it requires estimates that are susceptible to significant revision as more information becomes available.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significant amount of the allowance for credit losses is measured on a collective (pool) basis by loan and investment security type when similar risk characteristics exist. Pools are determined based primarily on regulatory reporting codes as the loans and investment securities within each pool share similar risk characteristics and there is sufficient historical peer loss data from the Federal Financial Institutions Examination Council (“FFIEC”) to provide statistically meaningful support in the models developed. Reserves for credit losses identified on a pooled basis are then adjusted for qualitative factors to reflect current conditions. The most significant components of the qualitative factors used to estimate the allowance for credit losses are adjustments relating to prevailing economic conditions, concentrations within the loan portfolio, and external factors. These qualitative factors are subject to significant judgment and carry a higher degree of uncertainty. The prevailing economic conditions factor is estimated based on a range of potential economic conditions and is applied at both the portfolio and individual concentration level based on various factors. The factor concerning concentrations within the loan portfolio is estimated based on concentrations at the loan pool level. The external factor is estimated based on current external factors, such as environmental factors, which could impact the loan portfolio.</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income for the three and nine months ended September 30, 2026 totaled $21.9 million and $59.9 million, respectively, as compared to net income of $16.3 million and $44.0 million for the three and nine months ended September 30, 2025,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highlights of our operating and financial performance, and financial condition for the dates and periods presented:</w:t>
      </w:r>
    </w:p>
    <w:p>
      <w:pPr>
        <w:spacing w:after="0" w:line="221" w:lineRule="exact"/>
        <w:rPr>
          <w:sz w:val="20"/>
          <w:szCs w:val="20"/>
          <w:color w:val="auto"/>
        </w:rPr>
      </w:pPr>
    </w:p>
    <w:p>
      <w:pPr>
        <w:jc w:val="both"/>
        <w:ind w:left="660" w:hanging="328"/>
        <w:spacing w:after="0" w:line="259"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Underwritten Public Offering. </w:t>
      </w:r>
      <w:r>
        <w:rPr>
          <w:rFonts w:ascii="Times New Roman" w:cs="Times New Roman" w:eastAsia="Times New Roman" w:hAnsi="Times New Roman"/>
          <w:sz w:val="18"/>
          <w:szCs w:val="18"/>
          <w:color w:val="auto"/>
        </w:rPr>
        <w:t>The Company completed an underwritten public offering of 3,133,750 shares of common stock during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September 30, 2026, with net proceeds of approximately $130.0 million after deducting underwriting discounts and commissions of approximately $7.3 million, and offering expenses of approximately $0.6 million. The transaction strengthened the Company’s capital base and positioned it for continued organic balance sheet growth, with a common equity Tier 1 capital ratio of 12.52% as of September 30, 2026, as compared to 10.58% as of December 31, 2025.</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Deposits. </w:t>
      </w:r>
      <w:r>
        <w:rPr>
          <w:rFonts w:ascii="Times New Roman" w:cs="Times New Roman" w:eastAsia="Times New Roman" w:hAnsi="Times New Roman"/>
          <w:sz w:val="18"/>
          <w:szCs w:val="18"/>
          <w:color w:val="auto"/>
        </w:rPr>
        <w:t>Total deposits increased by $623.4 million, or 14.84%, from $4.2 billion at December 31, 2025 to $4.8 billion at September 30, 2026.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Non-wholesale deposits increased by $888.4 million in the first nine months of 2026 to $4.6 billion at September 30, 2026. Wholesale deposits, which the Company defines as brokered deposits and California Time Deposit Program deposits, decreased by $265.0 million in the first nine months of 2026 to $200.0 million at September 30, 2026. Non-interest-bearing deposits increased by $126.0 million in the first nine months of 2026 to $1.2 billion, and represented 25.09% of total deposits at September 30, 2026, as compared to 25.82% of total deposits at December 31, 2025. Our loan to deposit ratio was 97.51% at September 30, 2026, as compared to 97.00% at December 31, 2025.</w:t>
      </w:r>
    </w:p>
    <w:p>
      <w:pPr>
        <w:spacing w:after="0" w:line="182"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Assets. </w:t>
      </w:r>
      <w:r>
        <w:rPr>
          <w:rFonts w:ascii="Times New Roman" w:cs="Times New Roman" w:eastAsia="Times New Roman" w:hAnsi="Times New Roman"/>
          <w:sz w:val="18"/>
          <w:szCs w:val="18"/>
          <w:color w:val="auto"/>
        </w:rPr>
        <w:t>Total assets were $5.6 billion at September 30, 2026, representing a $804.8 million, or 16.92%, increase compared to $4.8 billion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2025.</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Loans. </w:t>
      </w:r>
      <w:r>
        <w:rPr>
          <w:rFonts w:ascii="Times New Roman" w:cs="Times New Roman" w:eastAsia="Times New Roman" w:hAnsi="Times New Roman"/>
          <w:sz w:val="18"/>
          <w:szCs w:val="18"/>
          <w:color w:val="auto"/>
        </w:rPr>
        <w:t>Total loans held for investment were $4.7 billion at September 30, 2026, as compared to $4.1 billion at December 31, 2025, an increase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$629.3 million, or 15.44%. The increase was a result of $1.6 billion in loan originations and advances, partially offset by $304.5 million and $633.2 million in loan payoffs and paydowns, respectively.</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Credit Quality. </w:t>
      </w:r>
      <w:r>
        <w:rPr>
          <w:rFonts w:ascii="Times New Roman" w:cs="Times New Roman" w:eastAsia="Times New Roman" w:hAnsi="Times New Roman"/>
          <w:sz w:val="18"/>
          <w:szCs w:val="18"/>
          <w:color w:val="auto"/>
        </w:rPr>
        <w:t>Credit quality remains strong, with non-accrual loans representing $13.3 million, or 0.28% of total loans held for investment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2026, as compared to $3.1 million, or 0.08% of total loans held for investment at December 31, 2025. This increase was due to a $10.2 million, or 329.43%, increase in nonperforming loans due to one Community Reinvestment Act loan that was placed on non-accrual status during the three months ended June 30, 2026. The balance of the loan is $11.4 million as of September 30, 2026, and it was originally downgraded to substandard in 2025. This was partially offset by improvements across the remainder of the nonperforming loan portfolio. The ratio of the allowance for credit losses to total loans held for investment was 1.05% at September 30, 2026 and 1.09% at December 31, 2025.</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Net Interest Margin. </w:t>
      </w:r>
      <w:r>
        <w:rPr>
          <w:rFonts w:ascii="Times New Roman" w:cs="Times New Roman" w:eastAsia="Times New Roman" w:hAnsi="Times New Roman"/>
          <w:sz w:val="18"/>
          <w:szCs w:val="18"/>
          <w:color w:val="auto"/>
        </w:rPr>
        <w:t>Net interest margin was 3.69% for the three months ended September 30, 2026, up from 3.56% for the corresponding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2025, reflecting balance sheet growth and lower deposit funding costs following three Federal Reserve rate cuts that began in September 2025, partially offset by lower yields on interest-earning assets. Additionally, net interest margin was 3.67% for the nine months ended September 30, 2026, up from 3.52% for the corresponding period of 2025, reflecting balance sheet growth and lower deposit funding costs following three Federal Reserve rate cuts that began in September 2025, partially offset by lower yields on interest-earning assets.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Efficiency Ratio. </w:t>
      </w:r>
      <w:r>
        <w:rPr>
          <w:rFonts w:ascii="Times New Roman" w:cs="Times New Roman" w:eastAsia="Times New Roman" w:hAnsi="Times New Roman"/>
          <w:sz w:val="18"/>
          <w:szCs w:val="18"/>
          <w:color w:val="auto"/>
        </w:rPr>
        <w:t>Efficiency ratio was 39.13% for the three months ended September 30, 2026, down from 40.13% for the corresponding period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mainly due to a $11.6 million, or 29.42%, increase in net interest income during the same period, partially offset by a $4.0 million, or 24.19%, increase in non-interest expense. Additionally, efficiency ratio was 39.54% for the nine months ended September 30, 2026, down from</w:t>
      </w: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41.18% for the corresponding period of 2025, mainly due to a $30.6 million, or 27.88%, increase in net interest income, partially offset by a $10.3 million, or 21.65%, increase in non-interest expense.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1" w:name="page42"/>
    <w:bookmarkEnd w:id="41"/>
    <w:p>
      <w:pPr>
        <w:jc w:val="both"/>
        <w:ind w:left="328" w:hanging="328"/>
        <w:spacing w:after="0" w:line="259"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Capital Ratios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capital ratios were above well-capitalized regulatory thresholds as of September 30, 2026 and reflect additional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approximately $130.0 million issued through the public offering that closed in July 2026. The total risk-based capital ratio for the Company was 15.00% at September 30, 2026, as compared to 13.33% at December 31, 2025. The Tier 1 leverage ratio was 11.21% at September 30, 2026, as compared to 9.70% at December 31, 2025. For additional information about the regulatory capital requirements applicable to the Company and the Bank, see the section entitled “—Financial Condition Summary—Capital Adequacy” below.</w:t>
      </w:r>
    </w:p>
    <w:p>
      <w:pPr>
        <w:spacing w:after="0" w:line="17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board of directors declared a cash dividend of $0.25 per share on July 16, 2026.</w:t>
      </w:r>
    </w:p>
    <w:p>
      <w:pPr>
        <w:spacing w:after="0" w:line="200" w:lineRule="exact"/>
        <w:rPr>
          <w:sz w:val="20"/>
          <w:szCs w:val="20"/>
          <w:color w:val="auto"/>
        </w:rPr>
      </w:pPr>
    </w:p>
    <w:p>
      <w:pPr>
        <w:spacing w:after="0" w:line="34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14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Highlights of our financial results are presented in the following tables: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Table 1: Highlights of Financial Results</w:t>
            </w:r>
          </w:p>
        </w:tc>
        <w:tc>
          <w:tcPr>
            <w:tcW w:w="39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63"/>
        </w:trPr>
        <w:tc>
          <w:tcPr>
            <w:tcW w:w="20" w:type="dxa"/>
            <w:vAlign w:val="bottom"/>
            <w:tcBorders>
              <w:bottom w:val="single" w:sz="8" w:color="auto"/>
            </w:tcBorders>
          </w:tcPr>
          <w:p>
            <w:pPr>
              <w:spacing w:after="0"/>
              <w:rPr>
                <w:sz w:val="22"/>
                <w:szCs w:val="22"/>
                <w:color w:val="auto"/>
              </w:rPr>
            </w:pPr>
          </w:p>
        </w:tc>
        <w:tc>
          <w:tcPr>
            <w:tcW w:w="6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37"/>
        </w:trPr>
        <w:tc>
          <w:tcPr>
            <w:tcW w:w="20" w:type="dxa"/>
            <w:vAlign w:val="bottom"/>
            <w:shd w:val="clear" w:color="auto" w:fill="CCEEFF"/>
          </w:tcPr>
          <w:p>
            <w:pPr>
              <w:spacing w:after="0"/>
              <w:rPr>
                <w:sz w:val="20"/>
                <w:szCs w:val="20"/>
                <w:color w:val="auto"/>
              </w:rPr>
            </w:pPr>
          </w:p>
        </w:tc>
        <w:tc>
          <w:tcPr>
            <w:tcW w:w="6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financial condition data:</w:t>
            </w:r>
          </w:p>
        </w:tc>
        <w:tc>
          <w:tcPr>
            <w:tcW w:w="2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5,559,618</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4,754,861</w:t>
            </w:r>
          </w:p>
        </w:tc>
      </w:tr>
      <w:tr>
        <w:trPr>
          <w:trHeight w:val="243"/>
        </w:trPr>
        <w:tc>
          <w:tcPr>
            <w:tcW w:w="20" w:type="dxa"/>
            <w:vAlign w:val="bottom"/>
            <w:shd w:val="clear" w:color="auto" w:fill="CCEEFF"/>
          </w:tcPr>
          <w:p>
            <w:pPr>
              <w:spacing w:after="0"/>
              <w:rPr>
                <w:sz w:val="21"/>
                <w:szCs w:val="21"/>
                <w:color w:val="auto"/>
              </w:rPr>
            </w:pPr>
          </w:p>
        </w:tc>
        <w:tc>
          <w:tcPr>
            <w:tcW w:w="68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loans held for investment</w:t>
            </w:r>
          </w:p>
        </w:tc>
        <w:tc>
          <w:tcPr>
            <w:tcW w:w="22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4,704,215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4,074,929</w:t>
            </w:r>
          </w:p>
        </w:tc>
      </w:tr>
      <w:tr>
        <w:trPr>
          <w:trHeight w:val="243"/>
        </w:trPr>
        <w:tc>
          <w:tcPr>
            <w:tcW w:w="20" w:type="dxa"/>
            <w:vAlign w:val="bottom"/>
          </w:tcPr>
          <w:p>
            <w:pPr>
              <w:spacing w:after="0"/>
              <w:rPr>
                <w:sz w:val="21"/>
                <w:szCs w:val="21"/>
                <w:color w:val="auto"/>
              </w:rPr>
            </w:pPr>
          </w:p>
        </w:tc>
        <w:tc>
          <w:tcPr>
            <w:tcW w:w="6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deposits</w:t>
            </w:r>
          </w:p>
        </w:tc>
        <w:tc>
          <w:tcPr>
            <w:tcW w:w="220" w:type="dxa"/>
            <w:vAlign w:val="bottom"/>
          </w:tcPr>
          <w:p>
            <w:pPr>
              <w:spacing w:after="0"/>
              <w:rPr>
                <w:sz w:val="21"/>
                <w:szCs w:val="21"/>
                <w:color w:val="auto"/>
              </w:rPr>
            </w:pPr>
          </w:p>
        </w:tc>
        <w:tc>
          <w:tcPr>
            <w:tcW w:w="1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4,824,528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4,201,084</w:t>
            </w:r>
          </w:p>
        </w:tc>
      </w:tr>
      <w:tr>
        <w:trPr>
          <w:trHeight w:val="243"/>
        </w:trPr>
        <w:tc>
          <w:tcPr>
            <w:tcW w:w="20" w:type="dxa"/>
            <w:vAlign w:val="bottom"/>
            <w:shd w:val="clear" w:color="auto" w:fill="CCEEFF"/>
          </w:tcPr>
          <w:p>
            <w:pPr>
              <w:spacing w:after="0"/>
              <w:rPr>
                <w:sz w:val="21"/>
                <w:szCs w:val="21"/>
                <w:color w:val="auto"/>
              </w:rPr>
            </w:pPr>
          </w:p>
        </w:tc>
        <w:tc>
          <w:tcPr>
            <w:tcW w:w="68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subordinated notes, net</w:t>
            </w:r>
          </w:p>
        </w:tc>
        <w:tc>
          <w:tcPr>
            <w:tcW w:w="22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74,150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74,041</w:t>
            </w:r>
          </w:p>
        </w:tc>
      </w:tr>
      <w:tr>
        <w:trPr>
          <w:trHeight w:val="243"/>
        </w:trPr>
        <w:tc>
          <w:tcPr>
            <w:tcW w:w="20" w:type="dxa"/>
            <w:vAlign w:val="bottom"/>
          </w:tcPr>
          <w:p>
            <w:pPr>
              <w:spacing w:after="0"/>
              <w:rPr>
                <w:sz w:val="21"/>
                <w:szCs w:val="21"/>
                <w:color w:val="auto"/>
              </w:rPr>
            </w:pPr>
          </w:p>
        </w:tc>
        <w:tc>
          <w:tcPr>
            <w:tcW w:w="6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Pr>
          <w:p>
            <w:pPr>
              <w:spacing w:after="0"/>
              <w:rPr>
                <w:sz w:val="21"/>
                <w:szCs w:val="21"/>
                <w:color w:val="auto"/>
              </w:rPr>
            </w:pPr>
          </w:p>
        </w:tc>
        <w:tc>
          <w:tcPr>
            <w:tcW w:w="1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617,211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445,832</w:t>
            </w:r>
          </w:p>
        </w:tc>
      </w:tr>
      <w:tr>
        <w:trPr>
          <w:trHeight w:val="243"/>
        </w:trPr>
        <w:tc>
          <w:tcPr>
            <w:tcW w:w="20" w:type="dxa"/>
            <w:vAlign w:val="bottom"/>
            <w:shd w:val="clear" w:color="auto" w:fill="CCEEFF"/>
          </w:tcPr>
          <w:p>
            <w:pPr>
              <w:spacing w:after="0"/>
              <w:rPr>
                <w:sz w:val="21"/>
                <w:szCs w:val="21"/>
                <w:color w:val="auto"/>
              </w:rPr>
            </w:pPr>
          </w:p>
        </w:tc>
        <w:tc>
          <w:tcPr>
            <w:tcW w:w="6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quality ratios:</w:t>
            </w:r>
          </w:p>
        </w:tc>
        <w:tc>
          <w:tcPr>
            <w:tcW w:w="22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Allowance for credit losses to total loans held for investment</w:t>
            </w:r>
          </w:p>
        </w:tc>
        <w:tc>
          <w:tcPr>
            <w:tcW w:w="2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43"/>
        </w:trPr>
        <w:tc>
          <w:tcPr>
            <w:tcW w:w="20" w:type="dxa"/>
            <w:vAlign w:val="bottom"/>
            <w:shd w:val="clear" w:color="auto" w:fill="CCEEFF"/>
          </w:tcPr>
          <w:p>
            <w:pPr>
              <w:spacing w:after="0"/>
              <w:rPr>
                <w:sz w:val="21"/>
                <w:szCs w:val="21"/>
                <w:color w:val="auto"/>
              </w:rPr>
            </w:pPr>
          </w:p>
        </w:tc>
        <w:tc>
          <w:tcPr>
            <w:tcW w:w="68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Allowance for credit losses to nonperforming loans</w:t>
            </w:r>
          </w:p>
        </w:tc>
        <w:tc>
          <w:tcPr>
            <w:tcW w:w="220" w:type="dxa"/>
            <w:vAlign w:val="bottom"/>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371.49 %</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1,434.40 %</w:t>
            </w:r>
          </w:p>
        </w:tc>
      </w:tr>
      <w:tr>
        <w:trPr>
          <w:trHeight w:val="243"/>
        </w:trPr>
        <w:tc>
          <w:tcPr>
            <w:tcW w:w="20" w:type="dxa"/>
            <w:vAlign w:val="bottom"/>
          </w:tcPr>
          <w:p>
            <w:pPr>
              <w:spacing w:after="0"/>
              <w:rPr>
                <w:sz w:val="21"/>
                <w:szCs w:val="21"/>
                <w:color w:val="auto"/>
              </w:rPr>
            </w:pPr>
          </w:p>
        </w:tc>
        <w:tc>
          <w:tcPr>
            <w:tcW w:w="6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Nonperforming loans to total loans held for investment</w:t>
            </w:r>
          </w:p>
        </w:tc>
        <w:tc>
          <w:tcPr>
            <w:tcW w:w="2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0.08 %</w:t>
            </w:r>
          </w:p>
        </w:tc>
      </w:tr>
      <w:tr>
        <w:trPr>
          <w:trHeight w:val="243"/>
        </w:trPr>
        <w:tc>
          <w:tcPr>
            <w:tcW w:w="20" w:type="dxa"/>
            <w:vAlign w:val="bottom"/>
            <w:shd w:val="clear" w:color="auto" w:fill="CCEEFF"/>
          </w:tcPr>
          <w:p>
            <w:pPr>
              <w:spacing w:after="0"/>
              <w:rPr>
                <w:sz w:val="21"/>
                <w:szCs w:val="21"/>
                <w:color w:val="auto"/>
              </w:rPr>
            </w:pPr>
          </w:p>
        </w:tc>
        <w:tc>
          <w:tcPr>
            <w:tcW w:w="6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ratios:</w:t>
            </w:r>
          </w:p>
        </w:tc>
        <w:tc>
          <w:tcPr>
            <w:tcW w:w="22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13.33 %</w:t>
            </w:r>
          </w:p>
        </w:tc>
      </w:tr>
      <w:tr>
        <w:trPr>
          <w:trHeight w:val="243"/>
        </w:trPr>
        <w:tc>
          <w:tcPr>
            <w:tcW w:w="20" w:type="dxa"/>
            <w:vAlign w:val="bottom"/>
            <w:shd w:val="clear" w:color="auto" w:fill="CCEEFF"/>
          </w:tcPr>
          <w:p>
            <w:pPr>
              <w:spacing w:after="0"/>
              <w:rPr>
                <w:sz w:val="21"/>
                <w:szCs w:val="21"/>
                <w:color w:val="auto"/>
              </w:rPr>
            </w:pPr>
          </w:p>
        </w:tc>
        <w:tc>
          <w:tcPr>
            <w:tcW w:w="68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20" w:type="dxa"/>
            <w:vAlign w:val="bottom"/>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12.52 %</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10.58 %</w:t>
            </w:r>
          </w:p>
        </w:tc>
      </w:tr>
      <w:tr>
        <w:trPr>
          <w:trHeight w:val="243"/>
        </w:trPr>
        <w:tc>
          <w:tcPr>
            <w:tcW w:w="20" w:type="dxa"/>
            <w:vAlign w:val="bottom"/>
          </w:tcPr>
          <w:p>
            <w:pPr>
              <w:spacing w:after="0"/>
              <w:rPr>
                <w:sz w:val="21"/>
                <w:szCs w:val="21"/>
                <w:color w:val="auto"/>
              </w:rPr>
            </w:pPr>
          </w:p>
        </w:tc>
        <w:tc>
          <w:tcPr>
            <w:tcW w:w="6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Common equity Tier 1 capital (to risk-weighted assets)</w:t>
            </w:r>
          </w:p>
        </w:tc>
        <w:tc>
          <w:tcPr>
            <w:tcW w:w="2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10.58 %</w:t>
            </w:r>
          </w:p>
        </w:tc>
      </w:tr>
      <w:tr>
        <w:trPr>
          <w:trHeight w:val="243"/>
        </w:trPr>
        <w:tc>
          <w:tcPr>
            <w:tcW w:w="20" w:type="dxa"/>
            <w:vAlign w:val="bottom"/>
            <w:shd w:val="clear" w:color="auto" w:fill="CCEEFF"/>
          </w:tcPr>
          <w:p>
            <w:pPr>
              <w:spacing w:after="0"/>
              <w:rPr>
                <w:sz w:val="21"/>
                <w:szCs w:val="21"/>
                <w:color w:val="auto"/>
              </w:rPr>
            </w:pPr>
          </w:p>
        </w:tc>
        <w:tc>
          <w:tcPr>
            <w:tcW w:w="68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Tier 1 leverage</w:t>
            </w:r>
          </w:p>
        </w:tc>
        <w:tc>
          <w:tcPr>
            <w:tcW w:w="220" w:type="dxa"/>
            <w:vAlign w:val="bottom"/>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11.21 %</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9.70 %</w:t>
            </w:r>
          </w:p>
        </w:tc>
      </w:tr>
      <w:tr>
        <w:trPr>
          <w:trHeight w:val="243"/>
        </w:trPr>
        <w:tc>
          <w:tcPr>
            <w:tcW w:w="20" w:type="dxa"/>
            <w:vAlign w:val="bottom"/>
          </w:tcPr>
          <w:p>
            <w:pPr>
              <w:spacing w:after="0"/>
              <w:rPr>
                <w:sz w:val="21"/>
                <w:szCs w:val="21"/>
                <w:color w:val="auto"/>
              </w:rPr>
            </w:pPr>
          </w:p>
        </w:tc>
        <w:tc>
          <w:tcPr>
            <w:tcW w:w="6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shareholders’ equity to total assets</w:t>
            </w:r>
          </w:p>
        </w:tc>
        <w:tc>
          <w:tcPr>
            <w:tcW w:w="2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9.38 %</w:t>
            </w:r>
          </w:p>
        </w:tc>
      </w:tr>
      <w:tr>
        <w:trPr>
          <w:trHeight w:val="243"/>
        </w:trPr>
        <w:tc>
          <w:tcPr>
            <w:tcW w:w="20" w:type="dxa"/>
            <w:vAlign w:val="bottom"/>
            <w:shd w:val="clear" w:color="auto" w:fill="CCEEFF"/>
          </w:tcPr>
          <w:p>
            <w:pPr>
              <w:spacing w:after="0"/>
              <w:rPr>
                <w:sz w:val="21"/>
                <w:szCs w:val="21"/>
                <w:color w:val="auto"/>
              </w:rPr>
            </w:pPr>
          </w:p>
        </w:tc>
        <w:tc>
          <w:tcPr>
            <w:tcW w:w="6860" w:type="dxa"/>
            <w:vAlign w:val="bottom"/>
            <w:gridSpan w:val="3"/>
            <w:shd w:val="clear" w:color="auto" w:fill="CCEEFF"/>
          </w:tcPr>
          <w:p>
            <w:pPr>
              <w:ind w:left="160"/>
              <w:spacing w:after="0" w:line="243" w:lineRule="exact"/>
              <w:rPr>
                <w:sz w:val="20"/>
                <w:szCs w:val="20"/>
                <w:color w:val="auto"/>
              </w:rPr>
            </w:pPr>
            <w:r>
              <w:rPr>
                <w:rFonts w:ascii="Times New Roman" w:cs="Times New Roman" w:eastAsia="Times New Roman" w:hAnsi="Times New Roman"/>
                <w:sz w:val="18"/>
                <w:szCs w:val="18"/>
                <w:color w:val="auto"/>
              </w:rPr>
              <w:t>Tangible shareholders’ equity to tangible assets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11.10 %</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9.38 %</w:t>
            </w: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2: Highlights of Financial Results (continued)</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63"/>
        </w:trPr>
        <w:tc>
          <w:tcPr>
            <w:tcW w:w="20" w:type="dxa"/>
            <w:vAlign w:val="bottom"/>
          </w:tcPr>
          <w:p>
            <w:pPr>
              <w:spacing w:after="0"/>
              <w:rPr>
                <w:sz w:val="22"/>
                <w:szCs w:val="22"/>
                <w:color w:val="auto"/>
              </w:rPr>
            </w:pPr>
          </w:p>
        </w:tc>
        <w:tc>
          <w:tcPr>
            <w:tcW w:w="3760" w:type="dxa"/>
            <w:vAlign w:val="bottom"/>
            <w:tcBorders>
              <w:top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60" w:type="dxa"/>
            <w:vAlign w:val="bottom"/>
          </w:tcPr>
          <w:p>
            <w:pPr>
              <w:spacing w:after="0"/>
              <w:rPr>
                <w:sz w:val="22"/>
                <w:szCs w:val="22"/>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4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data)</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0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60" w:type="dxa"/>
            <w:vAlign w:val="bottom"/>
          </w:tcPr>
          <w:p>
            <w:pPr>
              <w:spacing w:after="0"/>
              <w:rPr>
                <w:sz w:val="20"/>
                <w:szCs w:val="20"/>
                <w:color w:val="auto"/>
              </w:rPr>
            </w:pPr>
          </w:p>
        </w:tc>
      </w:tr>
      <w:tr>
        <w:trPr>
          <w:trHeight w:val="236"/>
        </w:trPr>
        <w:tc>
          <w:tcPr>
            <w:tcW w:w="20" w:type="dxa"/>
            <w:vAlign w:val="bottom"/>
            <w:shd w:val="clear" w:color="auto" w:fill="CCEEFF"/>
          </w:tcPr>
          <w:p>
            <w:pPr>
              <w:spacing w:after="0"/>
              <w:rPr>
                <w:sz w:val="20"/>
                <w:szCs w:val="20"/>
                <w:color w:val="auto"/>
              </w:rPr>
            </w:pPr>
          </w:p>
        </w:tc>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operating data:</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Net interest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50,926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39,348</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140,466</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109,840</w:t>
            </w:r>
          </w:p>
        </w:tc>
        <w:tc>
          <w:tcPr>
            <w:tcW w:w="6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4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7,425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6,900</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Non-interest income</w:t>
            </w:r>
          </w:p>
        </w:tc>
        <w:tc>
          <w:tcPr>
            <w:tcW w:w="36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1,966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5,135</w:t>
            </w:r>
          </w:p>
        </w:tc>
        <w:tc>
          <w:tcPr>
            <w:tcW w:w="6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4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Non-interest expense</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20,591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16,580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57,601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47,351</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21,909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16,344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59,929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43,963</w:t>
            </w:r>
          </w:p>
        </w:tc>
        <w:tc>
          <w:tcPr>
            <w:tcW w:w="60" w:type="dxa"/>
            <w:vAlign w:val="bottom"/>
          </w:tcPr>
          <w:p>
            <w:pPr>
              <w:spacing w:after="0"/>
              <w:rPr>
                <w:sz w:val="21"/>
                <w:szCs w:val="21"/>
                <w:color w:val="auto"/>
              </w:rPr>
            </w:pPr>
          </w:p>
        </w:tc>
      </w:tr>
      <w:tr>
        <w:trPr>
          <w:trHeight w:val="257"/>
        </w:trPr>
        <w:tc>
          <w:tcPr>
            <w:tcW w:w="20" w:type="dxa"/>
            <w:vAlign w:val="bottom"/>
            <w:shd w:val="clear" w:color="auto" w:fill="CCEEFF"/>
          </w:tcPr>
          <w:p>
            <w:pPr>
              <w:spacing w:after="0"/>
              <w:rPr>
                <w:sz w:val="22"/>
                <w:szCs w:val="22"/>
                <w:color w:val="auto"/>
              </w:rPr>
            </w:pPr>
          </w:p>
        </w:tc>
        <w:tc>
          <w:tcPr>
            <w:tcW w:w="37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 common share data:</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0.77</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2.07</w:t>
            </w:r>
          </w:p>
        </w:tc>
        <w:tc>
          <w:tcPr>
            <w:tcW w:w="6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4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2.07</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Book value per share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20.19</w:t>
            </w:r>
          </w:p>
        </w:tc>
        <w:tc>
          <w:tcPr>
            <w:tcW w:w="6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4480" w:type="dxa"/>
            <w:vAlign w:val="bottom"/>
            <w:gridSpan w:val="3"/>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Tangible book value per share</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20.19</w:t>
            </w:r>
          </w:p>
        </w:tc>
        <w:tc>
          <w:tcPr>
            <w:tcW w:w="6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20" w:type="dxa"/>
            <w:vAlign w:val="bottom"/>
            <w:shd w:val="clear" w:color="auto" w:fill="CCEEFF"/>
          </w:tcPr>
          <w:p>
            <w:pPr>
              <w:spacing w:after="0"/>
              <w:rPr>
                <w:sz w:val="21"/>
                <w:szCs w:val="21"/>
                <w:color w:val="auto"/>
              </w:rPr>
            </w:pPr>
          </w:p>
        </w:tc>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Performance and other financial ratios:</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Return on Average Assets, annualized (“ROAA”)</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6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4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Return on Average Equity, annualized (“ROAE”)</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15.04 %</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15.35 %</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16.05 %</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14.29 %</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Net interest margin</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6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4480" w:type="dxa"/>
            <w:vAlign w:val="bottom"/>
            <w:gridSpan w:val="3"/>
            <w:shd w:val="clear" w:color="auto" w:fill="CCEEFF"/>
          </w:tcPr>
          <w:p>
            <w:pPr>
              <w:ind w:left="160"/>
              <w:spacing w:after="0" w:line="243" w:lineRule="exact"/>
              <w:rPr>
                <w:sz w:val="20"/>
                <w:szCs w:val="20"/>
                <w:color w:val="auto"/>
              </w:rPr>
            </w:pPr>
            <w:r>
              <w:rPr>
                <w:rFonts w:ascii="Times New Roman" w:cs="Times New Roman" w:eastAsia="Times New Roman" w:hAnsi="Times New Roman"/>
                <w:sz w:val="18"/>
                <w:szCs w:val="18"/>
                <w:color w:val="auto"/>
              </w:rPr>
              <w:t>Total cost of funds</w:t>
            </w:r>
            <w:r>
              <w:rPr>
                <w:rFonts w:ascii="Times New Roman" w:cs="Times New Roman" w:eastAsia="Times New Roman" w:hAnsi="Times New Roman"/>
                <w:sz w:val="23"/>
                <w:szCs w:val="23"/>
                <w:color w:val="auto"/>
                <w:vertAlign w:val="superscript"/>
              </w:rPr>
              <w:t>3</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Efficiency ratio</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39.13 %</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41.18 %</w:t>
            </w:r>
          </w:p>
        </w:tc>
        <w:tc>
          <w:tcPr>
            <w:tcW w:w="60" w:type="dxa"/>
            <w:vAlign w:val="bottom"/>
          </w:tcPr>
          <w:p>
            <w:pPr>
              <w:spacing w:after="0"/>
              <w:rPr>
                <w:sz w:val="21"/>
                <w:szCs w:val="21"/>
                <w:color w:val="auto"/>
              </w:rPr>
            </w:pPr>
          </w:p>
        </w:tc>
      </w:tr>
      <w:tr>
        <w:trPr>
          <w:trHeight w:val="243"/>
        </w:trPr>
        <w:tc>
          <w:tcPr>
            <w:tcW w:w="20" w:type="dxa"/>
            <w:vAlign w:val="bottom"/>
            <w:shd w:val="clear" w:color="auto" w:fill="CCEEFF"/>
          </w:tcPr>
          <w:p>
            <w:pPr>
              <w:spacing w:after="0"/>
              <w:rPr>
                <w:sz w:val="21"/>
                <w:szCs w:val="21"/>
                <w:color w:val="auto"/>
              </w:rPr>
            </w:pPr>
          </w:p>
        </w:tc>
        <w:tc>
          <w:tcPr>
            <w:tcW w:w="4480" w:type="dxa"/>
            <w:vAlign w:val="bottom"/>
            <w:gridSpan w:val="3"/>
            <w:shd w:val="clear" w:color="auto" w:fill="CCEEFF"/>
          </w:tcPr>
          <w:p>
            <w:pPr>
              <w:ind w:left="160"/>
              <w:spacing w:after="0" w:line="243" w:lineRule="exact"/>
              <w:rPr>
                <w:sz w:val="20"/>
                <w:szCs w:val="20"/>
                <w:color w:val="auto"/>
              </w:rPr>
            </w:pPr>
            <w:r>
              <w:rPr>
                <w:rFonts w:ascii="Times New Roman" w:cs="Times New Roman" w:eastAsia="Times New Roman" w:hAnsi="Times New Roman"/>
                <w:sz w:val="18"/>
                <w:szCs w:val="18"/>
                <w:color w:val="auto"/>
              </w:rPr>
              <w:t>Cash dividend payout ratio on common stock</w:t>
            </w:r>
            <w:r>
              <w:rPr>
                <w:rFonts w:ascii="Times New Roman" w:cs="Times New Roman" w:eastAsia="Times New Roman" w:hAnsi="Times New Roman"/>
                <w:sz w:val="23"/>
                <w:szCs w:val="23"/>
                <w:color w:val="auto"/>
                <w:vertAlign w:val="superscript"/>
              </w:rPr>
              <w:t>4</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27.17 %</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25.97 %</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27.78 %</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28.99 %</w:t>
            </w:r>
          </w:p>
        </w:tc>
        <w:tc>
          <w:tcPr>
            <w:tcW w:w="60" w:type="dxa"/>
            <w:vAlign w:val="bottom"/>
          </w:tcPr>
          <w:p>
            <w:pPr>
              <w:spacing w:after="0"/>
              <w:rPr>
                <w:sz w:val="21"/>
                <w:szCs w:val="21"/>
                <w:color w:val="auto"/>
              </w:rPr>
            </w:pPr>
          </w:p>
        </w:tc>
      </w:tr>
      <w:tr>
        <w:trPr>
          <w:trHeight w:val="824"/>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37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3" w:name="page44"/>
    <w:bookmarkEnd w:id="43"/>
    <w:p>
      <w:pPr>
        <w:jc w:val="both"/>
        <w:ind w:left="340" w:hanging="332"/>
        <w:spacing w:after="0" w:line="243" w:lineRule="auto"/>
        <w:tabs>
          <w:tab w:leader="none" w:pos="331"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Tangible shareholders’ equity to tangible assets is considered a non-GAAP financial measure. See the section entitled “Non-GAAP Financial Measures” for a reconciliation of our non-GAAP financial measures to the most directly comparable GAAP financial measure. 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at the end of any period indicated. As a result, tangible shareholders’ equity to tangible assets is the same as total shareholders’ equity to total assets at the end of each of the periods indicated.</w:t>
      </w:r>
    </w:p>
    <w:p>
      <w:pPr>
        <w:spacing w:after="0" w:line="196" w:lineRule="exact"/>
        <w:rPr>
          <w:sz w:val="20"/>
          <w:szCs w:val="20"/>
          <w:color w:val="auto"/>
        </w:rPr>
      </w:pPr>
    </w:p>
    <w:p>
      <w:pPr>
        <w:jc w:val="both"/>
        <w:ind w:left="340" w:hanging="332"/>
        <w:spacing w:after="0" w:line="241" w:lineRule="auto"/>
        <w:tabs>
          <w:tab w:leader="none" w:pos="331"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Tangible book value per share is considered a non-GAAP financial measure. See the section entitled “Non-GAAP Financial Measures” for a reconciliation of our non-GAAP financial measures to the most directly comparable GAAP financial measure. Tangible book value per share is defined as total shareholders’ equity less goodwill and other intangible assets, divided by the outstanding number of common shares at the end of the period. The most directly comparable GAAP financial measure is book value per share. We had no goodwill or other intangible assets at the end of any period indicated. As a result, tangible book value per share is the same as book value per share at the end of each of the periods indicated.</w:t>
      </w:r>
    </w:p>
    <w:p>
      <w:pPr>
        <w:sectPr>
          <w:pgSz w:w="11900" w:h="16838" w:orient="portrait"/>
          <w:cols w:equalWidth="0" w:num="1">
            <w:col w:w="11240"/>
          </w:cols>
          <w:pgMar w:left="320" w:top="1147" w:right="33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cost of funds reflects the average cost of all funding sources, including both interest-bearing and non-interest-bearing deposits and borrowings.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dividend payout ratio on common stock is calculated as dividends on common shares divided by basic earnings per common share.</w:t>
      </w:r>
    </w:p>
    <w:p>
      <w:pPr>
        <w:spacing w:after="0" w:line="200" w:lineRule="exact"/>
        <w:rPr>
          <w:sz w:val="20"/>
          <w:szCs w:val="20"/>
          <w:color w:val="auto"/>
        </w:rPr>
      </w:pPr>
    </w:p>
    <w:p>
      <w:pPr>
        <w:spacing w:after="0" w:line="33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60" w:space="260"/>
            <w:col w:w="10920"/>
          </w:cols>
          <w:pgMar w:left="320" w:top="1147"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of our results of operations compares the three and nine months ended September 30, 2026 to the three and nine months ended September 30, 2025. The results of operations for the three and nine months ended September 30, 2026 are not necessarily indicative of the results of operations that may be expected for the year ending December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interest income is the most significant contributor to our net income. Net interest income represents interest income from interest-earning assets, such as loans and investments, less interest expense on interest-bearing liabilities, such as deposits, subordinated notes, and other borrowings, which are used to fund those assets. In evaluating our net interest income, we measure and monitor yields/rates on our interest-earning assets and interest-bearing liabilities as well as trends in our net interest margin. Net interest margin is a ratio calculated as net interest income divided by total interest-earning assets for the same period. We manage our earning assets and funding sources in order to maximize this margin while limiting credit risk and interest rate sensitivity to our established risk appetite levels. Changes in market interest rates and competition in our market typically have the largest impact on periodic changes in our net interest margin.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months ended September 30, 2026 compared to three months ended September 30, 2025</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income increased by $11.6 million, or 29.42%, for the three months ended September 30, 2026 compared to the three months ended September 30, 2025, and our net interest margin increased by 13 basis points during the same period. The increase primarily reflected balance sheet growth and lower deposit funding costs following three Federal Reserve rate cuts that began in September 2025, partially offset by lower yields on interest-earning assets. Additional detail relating to net interest margin in each period is provided below.</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5" w:name="page46"/>
    <w:bookmarkEnd w:id="45"/>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Average balance sheet, interest, and yield/rate analysis. </w:t>
      </w:r>
      <w:r>
        <w:rPr>
          <w:rFonts w:ascii="Times New Roman" w:cs="Times New Roman" w:eastAsia="Times New Roman" w:hAnsi="Times New Roman"/>
          <w:sz w:val="18"/>
          <w:szCs w:val="18"/>
          <w:color w:val="auto"/>
        </w:rPr>
        <w:t>Table 3 presents average balance sheet information, interest income, interest expense,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average yield earned or rate paid for each period reported. The average balances are daily averages and include both performing and nonperforming loans.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Table 3: Average Balances, Interest, and Yield/Rate</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gridSpan w:val="7"/>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40" w:type="dxa"/>
            <w:vAlign w:val="bottom"/>
            <w:gridSpan w:val="7"/>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September 30, 2026</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vMerge w:val="restart"/>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130"/>
              <w:spacing w:after="0" w:line="185"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40"/>
              <w:spacing w:after="0" w:line="185"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140" w:type="dxa"/>
            <w:vAlign w:val="bottom"/>
          </w:tcPr>
          <w:p>
            <w:pPr>
              <w:jc w:val="right"/>
              <w:ind w:right="170"/>
              <w:spacing w:after="0" w:line="185"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150"/>
              <w:spacing w:after="0" w:line="185" w:lineRule="exact"/>
              <w:rPr>
                <w:sz w:val="20"/>
                <w:szCs w:val="20"/>
                <w:color w:val="auto"/>
              </w:rPr>
            </w:pPr>
            <w:r>
              <w:rPr>
                <w:rFonts w:ascii="Times New Roman" w:cs="Times New Roman" w:eastAsia="Times New Roman" w:hAnsi="Times New Roman"/>
                <w:sz w:val="18"/>
                <w:szCs w:val="18"/>
                <w:b w:val="1"/>
                <w:bCs w:val="1"/>
                <w:color w:val="auto"/>
              </w:rPr>
              <w:t>Average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20"/>
              <w:spacing w:after="0" w:line="185"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140" w:type="dxa"/>
            <w:vAlign w:val="bottom"/>
          </w:tcPr>
          <w:p>
            <w:pPr>
              <w:jc w:val="right"/>
              <w:ind w:right="170"/>
              <w:spacing w:after="0" w:line="185" w:lineRule="exact"/>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Income/Expense</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Income/Expense</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18"/>
                <w:szCs w:val="18"/>
                <w:color w:val="auto"/>
              </w:rPr>
              <w:t>Interest-earning deposits in banks</w:t>
            </w:r>
            <w:r>
              <w:rPr>
                <w:rFonts w:ascii="Times New Roman" w:cs="Times New Roman" w:eastAsia="Times New Roman" w:hAnsi="Times New Roman"/>
                <w:sz w:val="23"/>
                <w:szCs w:val="23"/>
                <w:color w:val="auto"/>
                <w:vertAlign w:val="superscript"/>
              </w:rPr>
              <w:t>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772,887</w:t>
            </w:r>
          </w:p>
        </w:tc>
        <w:tc>
          <w:tcPr>
            <w:tcW w:w="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3.74 %</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451,534</w:t>
            </w:r>
          </w:p>
        </w:tc>
        <w:tc>
          <w:tcPr>
            <w:tcW w:w="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440" w:type="dxa"/>
            <w:vAlign w:val="bottom"/>
            <w:gridSpan w:val="2"/>
            <w:shd w:val="clear" w:color="auto" w:fill="CCEEFF"/>
          </w:tcPr>
          <w:p>
            <w:pPr>
              <w:ind w:left="120"/>
              <w:spacing w:after="0" w:line="243" w:lineRule="exact"/>
              <w:rPr>
                <w:sz w:val="20"/>
                <w:szCs w:val="20"/>
                <w:color w:val="auto"/>
              </w:rPr>
            </w:pPr>
            <w:r>
              <w:rPr>
                <w:rFonts w:ascii="Times New Roman" w:cs="Times New Roman" w:eastAsia="Times New Roman" w:hAnsi="Times New Roman"/>
                <w:sz w:val="18"/>
                <w:szCs w:val="18"/>
                <w:color w:val="auto"/>
              </w:rPr>
              <w:t>Investment securities</w:t>
            </w:r>
            <w:r>
              <w:rPr>
                <w:rFonts w:ascii="Times New Roman" w:cs="Times New Roman" w:eastAsia="Times New Roman" w:hAnsi="Times New Roman"/>
                <w:sz w:val="23"/>
                <w:szCs w:val="23"/>
                <w:color w:val="auto"/>
                <w:vertAlign w:val="superscript"/>
              </w:rPr>
              <w:t>1,2</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90,174</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96,806</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3440" w:type="dxa"/>
            <w:vAlign w:val="bottom"/>
            <w:tcBorders>
              <w:bottom w:val="single" w:sz="8" w:color="CCEEFF"/>
            </w:tcBorders>
            <w:gridSpan w:val="2"/>
          </w:tcPr>
          <w:p>
            <w:pPr>
              <w:ind w:left="120"/>
              <w:spacing w:after="0" w:line="243" w:lineRule="exact"/>
              <w:rPr>
                <w:sz w:val="20"/>
                <w:szCs w:val="20"/>
                <w:color w:val="auto"/>
              </w:rPr>
            </w:pPr>
            <w:r>
              <w:rPr>
                <w:rFonts w:ascii="Times New Roman" w:cs="Times New Roman" w:eastAsia="Times New Roman" w:hAnsi="Times New Roman"/>
                <w:sz w:val="18"/>
                <w:szCs w:val="18"/>
                <w:color w:val="auto"/>
              </w:rPr>
              <w:t>Loans held for investment and sale</w:t>
            </w:r>
            <w:r>
              <w:rPr>
                <w:rFonts w:ascii="Times New Roman" w:cs="Times New Roman" w:eastAsia="Times New Roman" w:hAnsi="Times New Roman"/>
                <w:sz w:val="23"/>
                <w:szCs w:val="23"/>
                <w:color w:val="auto"/>
                <w:vertAlign w:val="superscript"/>
              </w:rPr>
              <w:t>1,3</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4,612,608</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71,392</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3,831,851</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59,257</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440" w:type="dxa"/>
            <w:vAlign w:val="bottom"/>
            <w:gridSpan w:val="2"/>
            <w:shd w:val="clear" w:color="auto" w:fill="CCEEFF"/>
          </w:tcPr>
          <w:p>
            <w:pPr>
              <w:spacing w:after="0" w:line="236" w:lineRule="exact"/>
              <w:rPr>
                <w:sz w:val="20"/>
                <w:szCs w:val="20"/>
                <w:color w:val="auto"/>
              </w:rPr>
            </w:pPr>
            <w:r>
              <w:rPr>
                <w:rFonts w:ascii="Times New Roman" w:cs="Times New Roman" w:eastAsia="Times New Roman" w:hAnsi="Times New Roman"/>
                <w:sz w:val="18"/>
                <w:szCs w:val="18"/>
                <w:color w:val="auto"/>
              </w:rPr>
              <w:t>Total interest-earning assets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5,475,669</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79,174</w:t>
            </w:r>
          </w:p>
        </w:tc>
        <w:tc>
          <w:tcPr>
            <w:tcW w:w="100" w:type="dxa"/>
            <w:vAlign w:val="bottom"/>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5.74 %</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4,380,191</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64,845</w:t>
            </w:r>
          </w:p>
        </w:tc>
        <w:tc>
          <w:tcPr>
            <w:tcW w:w="100" w:type="dxa"/>
            <w:vAlign w:val="bottom"/>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5.87 %</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3440" w:type="dxa"/>
            <w:vAlign w:val="bottom"/>
            <w:tcBorders>
              <w:bottom w:val="single" w:sz="8" w:color="CCEEFF"/>
            </w:tcBorders>
            <w:gridSpan w:val="2"/>
          </w:tcPr>
          <w:p>
            <w:pPr>
              <w:ind w:left="120"/>
              <w:spacing w:after="0" w:line="236" w:lineRule="exact"/>
              <w:rPr>
                <w:sz w:val="20"/>
                <w:szCs w:val="20"/>
                <w:color w:val="auto"/>
              </w:rPr>
            </w:pPr>
            <w:r>
              <w:rPr>
                <w:rFonts w:ascii="Times New Roman" w:cs="Times New Roman" w:eastAsia="Times New Roman" w:hAnsi="Times New Roman"/>
                <w:sz w:val="18"/>
                <w:szCs w:val="18"/>
                <w:color w:val="auto"/>
              </w:rPr>
              <w:t>Interest receivable and other assets, net</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120,299</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110,118</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5,595,968</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4,490,309</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4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34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440" w:type="dxa"/>
            <w:vAlign w:val="bottom"/>
            <w:gridSpan w:val="2"/>
            <w:shd w:val="clear" w:color="auto" w:fill="CCEEFF"/>
          </w:tcPr>
          <w:p>
            <w:pPr>
              <w:ind w:left="120"/>
              <w:spacing w:after="0" w:line="243" w:lineRule="exact"/>
              <w:rPr>
                <w:sz w:val="20"/>
                <w:szCs w:val="20"/>
                <w:color w:val="auto"/>
              </w:rPr>
            </w:pPr>
            <w:r>
              <w:rPr>
                <w:rFonts w:ascii="Times New Roman" w:cs="Times New Roman" w:eastAsia="Times New Roman" w:hAnsi="Times New Roman"/>
                <w:sz w:val="18"/>
                <w:szCs w:val="18"/>
                <w:color w:val="auto"/>
              </w:rPr>
              <w:t>Interest-bearing transaction accounts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433,005</w:t>
            </w:r>
          </w:p>
        </w:tc>
        <w:tc>
          <w:tcPr>
            <w:tcW w:w="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300,642</w:t>
            </w:r>
          </w:p>
        </w:tc>
        <w:tc>
          <w:tcPr>
            <w:tcW w:w="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18"/>
                <w:szCs w:val="18"/>
                <w:color w:val="auto"/>
              </w:rPr>
              <w:t>Savings accounts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150,815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130,973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440" w:type="dxa"/>
            <w:vAlign w:val="bottom"/>
            <w:gridSpan w:val="2"/>
            <w:shd w:val="clear" w:color="auto" w:fill="CCEEFF"/>
          </w:tcPr>
          <w:p>
            <w:pPr>
              <w:ind w:left="120"/>
              <w:spacing w:after="0" w:line="243" w:lineRule="exact"/>
              <w:rPr>
                <w:sz w:val="20"/>
                <w:szCs w:val="20"/>
                <w:color w:val="auto"/>
              </w:rPr>
            </w:pPr>
            <w:r>
              <w:rPr>
                <w:rFonts w:ascii="Times New Roman" w:cs="Times New Roman" w:eastAsia="Times New Roman" w:hAnsi="Times New Roman"/>
                <w:sz w:val="18"/>
                <w:szCs w:val="18"/>
                <w:color w:val="auto"/>
              </w:rPr>
              <w:t>Money market accounts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2,829,499</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21,729</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1,874,089</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15,348</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18"/>
                <w:szCs w:val="18"/>
                <w:color w:val="auto"/>
              </w:rPr>
              <w:t>Time accounts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282,857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639,434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440" w:type="dxa"/>
            <w:vAlign w:val="bottom"/>
            <w:gridSpan w:val="2"/>
            <w:shd w:val="clear" w:color="auto" w:fill="CCEEFF"/>
          </w:tcPr>
          <w:p>
            <w:pPr>
              <w:ind w:left="120"/>
              <w:spacing w:after="0" w:line="243" w:lineRule="exact"/>
              <w:rPr>
                <w:sz w:val="20"/>
                <w:szCs w:val="20"/>
                <w:color w:val="auto"/>
              </w:rPr>
            </w:pPr>
            <w:r>
              <w:rPr>
                <w:rFonts w:ascii="Times New Roman" w:cs="Times New Roman" w:eastAsia="Times New Roman" w:hAnsi="Times New Roman"/>
                <w:sz w:val="18"/>
                <w:szCs w:val="18"/>
                <w:color w:val="auto"/>
              </w:rPr>
              <w:t>Subordinated notes and other borrowings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74,127</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6.22 %</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73,981</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6.23 %</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3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3,770,303</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28,248</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3,019,119</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25,497</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Demand accounts</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1,212,088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1,016,560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payable and other liabilities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577,886</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422,420</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5,595,968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4,490,309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33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top w:val="single" w:sz="8" w:color="auto"/>
              <w:bottom w:val="single" w:sz="8" w:color="CCEEFF"/>
            </w:tcBorders>
          </w:tcPr>
          <w:p>
            <w:pPr>
              <w:spacing w:after="0"/>
              <w:rPr>
                <w:sz w:val="3"/>
                <w:szCs w:val="3"/>
                <w:color w:val="auto"/>
              </w:rPr>
            </w:pPr>
          </w:p>
        </w:tc>
        <w:tc>
          <w:tcPr>
            <w:tcW w:w="860" w:type="dxa"/>
            <w:vAlign w:val="bottom"/>
            <w:tcBorders>
              <w:top w:val="single" w:sz="8" w:color="auto"/>
              <w:bottom w:val="single" w:sz="8" w:color="CCEEFF"/>
            </w:tcBorders>
          </w:tcPr>
          <w:p>
            <w:pPr>
              <w:spacing w:after="0"/>
              <w:rPr>
                <w:sz w:val="3"/>
                <w:szCs w:val="3"/>
                <w:color w:val="auto"/>
              </w:rPr>
            </w:pPr>
          </w:p>
        </w:tc>
        <w:tc>
          <w:tcPr>
            <w:tcW w:w="60" w:type="dxa"/>
            <w:vAlign w:val="bottom"/>
            <w:tcBorders>
              <w:top w:val="single" w:sz="8" w:color="auto"/>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top w:val="single" w:sz="8" w:color="auto"/>
              <w:bottom w:val="single" w:sz="8" w:color="CCEEFF"/>
            </w:tcBorders>
          </w:tcPr>
          <w:p>
            <w:pPr>
              <w:spacing w:after="0"/>
              <w:rPr>
                <w:sz w:val="3"/>
                <w:szCs w:val="3"/>
                <w:color w:val="auto"/>
              </w:rPr>
            </w:pPr>
          </w:p>
        </w:tc>
        <w:tc>
          <w:tcPr>
            <w:tcW w:w="960" w:type="dxa"/>
            <w:vAlign w:val="bottom"/>
            <w:tcBorders>
              <w:top w:val="single" w:sz="8" w:color="auto"/>
              <w:bottom w:val="single" w:sz="8" w:color="CCEEFF"/>
            </w:tcBorders>
          </w:tcPr>
          <w:p>
            <w:pPr>
              <w:spacing w:after="0"/>
              <w:rPr>
                <w:sz w:val="3"/>
                <w:szCs w:val="3"/>
                <w:color w:val="auto"/>
              </w:rPr>
            </w:pPr>
          </w:p>
        </w:tc>
        <w:tc>
          <w:tcPr>
            <w:tcW w:w="40" w:type="dxa"/>
            <w:vAlign w:val="bottom"/>
            <w:tcBorders>
              <w:top w:val="single" w:sz="8" w:color="auto"/>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3440" w:type="dxa"/>
            <w:vAlign w:val="bottom"/>
            <w:tcBorders>
              <w:top w:val="single" w:sz="8" w:color="CCEEFF"/>
              <w:bottom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interest spread</w:t>
            </w:r>
            <w:r>
              <w:rPr>
                <w:rFonts w:ascii="Times New Roman" w:cs="Times New Roman" w:eastAsia="Times New Roman" w:hAnsi="Times New Roman"/>
                <w:sz w:val="23"/>
                <w:szCs w:val="23"/>
                <w:color w:val="auto"/>
                <w:vertAlign w:val="superscript"/>
              </w:rPr>
              <w:t>5</w:t>
            </w: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0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40" w:type="dxa"/>
            <w:vAlign w:val="bottom"/>
            <w:tcBorders>
              <w:top w:val="single" w:sz="8" w:color="CCEEFF"/>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2.77 %</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tcBorders>
            <w:shd w:val="clear" w:color="auto" w:fill="CCEEFF"/>
          </w:tcPr>
          <w:p>
            <w:pPr>
              <w:spacing w:after="0"/>
              <w:rPr>
                <w:sz w:val="22"/>
                <w:szCs w:val="22"/>
                <w:color w:val="auto"/>
              </w:rPr>
            </w:pPr>
          </w:p>
        </w:tc>
        <w:tc>
          <w:tcPr>
            <w:tcW w:w="4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10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40" w:type="dxa"/>
            <w:vAlign w:val="bottom"/>
            <w:tcBorders>
              <w:top w:val="single" w:sz="8" w:color="CCEEFF"/>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2.52 %</w:t>
            </w: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tcPr>
          <w:p>
            <w:pPr>
              <w:spacing w:after="0"/>
              <w:rPr>
                <w:sz w:val="18"/>
                <w:szCs w:val="18"/>
                <w:color w:val="auto"/>
              </w:rPr>
            </w:pPr>
          </w:p>
        </w:tc>
        <w:tc>
          <w:tcPr>
            <w:tcW w:w="3440" w:type="dxa"/>
            <w:vAlign w:val="bottom"/>
            <w:tcBorders>
              <w:top w:val="single" w:sz="8" w:color="CCEEFF"/>
            </w:tcBorders>
            <w:gridSpan w:val="2"/>
          </w:tcPr>
          <w:p>
            <w:pPr>
              <w:spacing w:after="0" w:line="216" w:lineRule="exact"/>
              <w:rPr>
                <w:sz w:val="20"/>
                <w:szCs w:val="20"/>
                <w:color w:val="auto"/>
              </w:rPr>
            </w:pPr>
            <w:r>
              <w:rPr>
                <w:rFonts w:ascii="Times New Roman" w:cs="Times New Roman" w:eastAsia="Times New Roman" w:hAnsi="Times New Roman"/>
                <w:sz w:val="18"/>
                <w:szCs w:val="18"/>
                <w:color w:val="auto"/>
              </w:rPr>
              <w:t>Net interest income/margin</w:t>
            </w:r>
            <w:r>
              <w:rPr>
                <w:rFonts w:ascii="Times New Roman" w:cs="Times New Roman" w:eastAsia="Times New Roman" w:hAnsi="Times New Roman"/>
                <w:sz w:val="23"/>
                <w:szCs w:val="23"/>
                <w:color w:val="auto"/>
                <w:vertAlign w:val="superscript"/>
              </w:rPr>
              <w:t>6</w:t>
            </w:r>
          </w:p>
        </w:tc>
        <w:tc>
          <w:tcPr>
            <w:tcW w:w="2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50,926</w:t>
            </w: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gridSpan w:val="2"/>
          </w:tcPr>
          <w:p>
            <w:pPr>
              <w:spacing w:after="0"/>
              <w:rPr>
                <w:sz w:val="18"/>
                <w:szCs w:val="18"/>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39,348</w:t>
            </w: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hanging="332"/>
        <w:spacing w:after="0" w:line="229" w:lineRule="auto"/>
        <w:tabs>
          <w:tab w:leader="none" w:pos="331"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income/expense is divided by the actual number of days in the period multiplied by the actual number of days in the year to correspond to stated interest rate terms, where applicable.</w:t>
      </w:r>
    </w:p>
    <w:p>
      <w:pPr>
        <w:spacing w:after="0" w:line="198" w:lineRule="exact"/>
        <w:rPr>
          <w:sz w:val="20"/>
          <w:szCs w:val="20"/>
          <w:color w:val="auto"/>
        </w:rPr>
      </w:pPr>
    </w:p>
    <w:p>
      <w:pPr>
        <w:ind w:left="340" w:hanging="332"/>
        <w:spacing w:after="0" w:line="229" w:lineRule="auto"/>
        <w:tabs>
          <w:tab w:leader="none" w:pos="331"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Yields on available-for-sale securities are calculated based on fair value. Investment security interest is earned monthly on a 30/360 day basis. Yields are not calculated on a tax-equivalent basis.</w:t>
      </w:r>
    </w:p>
    <w:p>
      <w:pPr>
        <w:spacing w:after="0" w:line="198" w:lineRule="exact"/>
        <w:rPr>
          <w:sz w:val="20"/>
          <w:szCs w:val="20"/>
          <w:color w:val="auto"/>
        </w:rPr>
      </w:pPr>
    </w:p>
    <w:p>
      <w:pPr>
        <w:ind w:left="340" w:hanging="332"/>
        <w:spacing w:after="0" w:line="229" w:lineRule="auto"/>
        <w:tabs>
          <w:tab w:leader="none" w:pos="331"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Non-accrual loans are included in total loan balances. No adjustment has been made for these loans in the yield calculations. Interest income on loans includes amortization of deferred loan fees, net of deferred loan costs. Allowance for credit losses is not included in total loan balances.</w:t>
      </w:r>
    </w:p>
    <w:p>
      <w:pPr>
        <w:sectPr>
          <w:pgSz w:w="11900" w:h="16838" w:orient="portrait"/>
          <w:cols w:equalWidth="0" w:num="1">
            <w:col w:w="11240"/>
          </w:cols>
          <w:pgMar w:left="320" w:top="1145" w:right="339" w:bottom="1440" w:gutter="0" w:footer="0" w:header="0"/>
        </w:sectPr>
      </w:pP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 is included in interest receivable and other assets,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spread represents the average yield earned on interest-earning assets minus the average rate paid on interest-bearing liabilities.</w:t>
      </w:r>
    </w:p>
    <w:p>
      <w:pPr>
        <w:spacing w:after="0" w:line="225" w:lineRule="exact"/>
        <w:rPr>
          <w:sz w:val="20"/>
          <w:szCs w:val="20"/>
          <w:color w:val="auto"/>
        </w:rPr>
      </w:pPr>
    </w:p>
    <w:p>
      <w:pPr>
        <w:ind w:left="20" w:hanging="8"/>
        <w:spacing w:after="0" w:line="282" w:lineRule="auto"/>
        <w:rPr>
          <w:sz w:val="20"/>
          <w:szCs w:val="20"/>
          <w:color w:val="auto"/>
        </w:rPr>
      </w:pPr>
      <w:r>
        <w:rPr>
          <w:rFonts w:ascii="Times New Roman" w:cs="Times New Roman" w:eastAsia="Times New Roman" w:hAnsi="Times New Roman"/>
          <w:sz w:val="18"/>
          <w:szCs w:val="18"/>
          <w:color w:val="auto"/>
        </w:rPr>
        <w:t>Net interest margin is computed by calculating the difference between interest income and interest expense, divided by the average balance of interest-earning assets, then annualized based on the number of days in the given period.</w:t>
      </w:r>
    </w:p>
    <w:p>
      <w:pPr>
        <w:spacing w:after="0" w:line="200" w:lineRule="exact"/>
        <w:rPr>
          <w:sz w:val="20"/>
          <w:szCs w:val="20"/>
          <w:color w:val="auto"/>
        </w:rPr>
      </w:pPr>
    </w:p>
    <w:p>
      <w:pPr>
        <w:sectPr>
          <w:pgSz w:w="11900" w:h="16838" w:orient="portrait"/>
          <w:cols w:equalWidth="0" w:num="2">
            <w:col w:w="60" w:space="260"/>
            <w:col w:w="10920"/>
          </w:cols>
          <w:pgMar w:left="320" w:top="1145" w:right="339" w:bottom="1440" w:gutter="0" w:footer="0" w:header="0"/>
          <w:type w:val="continuous"/>
        </w:sect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type w:val="continuous"/>
        </w:sectPr>
      </w:pPr>
    </w:p>
    <w:bookmarkStart w:id="46" w:name="page47"/>
    <w:bookmarkEnd w:id="46"/>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Analysis of changes in interest income and expenses. </w:t>
      </w:r>
      <w:r>
        <w:rPr>
          <w:rFonts w:ascii="Times New Roman" w:cs="Times New Roman" w:eastAsia="Times New Roman" w:hAnsi="Times New Roman"/>
          <w:sz w:val="18"/>
          <w:szCs w:val="18"/>
          <w:color w:val="auto"/>
        </w:rPr>
        <w:t>Increases and decreases in interest income and interest expense result from changes in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balances (volume) of interest-earning assets and interest-bearing liabilities, as well as changes in average yields/rates. Table 4 shows the effect that these factors had on the interest earned from our interest-earning assets and interest incurred on our interest-bearing liabilities. The effect of changes in volume is determined by multiplying the change in volume by the current period’s average yield/rate. The effect of rate changes is calculated by multiplying the change in average yield/rate by the previous period’s volume. Changes not solely attributable to volume or yields/rates have been allocated in proportion to the respective volume and yield/rate components.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4: Interest Income and Expense Change Analysis</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980" w:type="dxa"/>
            <w:vAlign w:val="bottom"/>
            <w:tcBorders>
              <w:top w:val="single" w:sz="8" w:color="auto"/>
            </w:tcBorders>
          </w:tcPr>
          <w:p>
            <w:pPr>
              <w:spacing w:after="0"/>
              <w:rPr>
                <w:sz w:val="19"/>
                <w:szCs w:val="19"/>
                <w:color w:val="auto"/>
              </w:rPr>
            </w:pPr>
          </w:p>
        </w:tc>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80" w:type="dxa"/>
            <w:vAlign w:val="bottom"/>
            <w:gridSpan w:val="6"/>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380" w:type="dxa"/>
            <w:vAlign w:val="bottom"/>
          </w:tcPr>
          <w:p>
            <w:pPr>
              <w:spacing w:after="0"/>
              <w:rPr>
                <w:sz w:val="19"/>
                <w:szCs w:val="19"/>
                <w:color w:val="auto"/>
              </w:rPr>
            </w:pPr>
          </w:p>
        </w:tc>
      </w:tr>
      <w:tr>
        <w:trPr>
          <w:trHeight w:val="180"/>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60" w:type="dxa"/>
            <w:vAlign w:val="bottom"/>
            <w:gridSpan w:val="7"/>
          </w:tcPr>
          <w:p>
            <w:pPr>
              <w:jc w:val="center"/>
              <w:ind w:right="210"/>
              <w:spacing w:after="0" w:line="180" w:lineRule="exact"/>
              <w:rPr>
                <w:sz w:val="20"/>
                <w:szCs w:val="20"/>
                <w:color w:val="auto"/>
              </w:rPr>
            </w:pPr>
            <w:r>
              <w:rPr>
                <w:rFonts w:ascii="Times New Roman" w:cs="Times New Roman" w:eastAsia="Times New Roman" w:hAnsi="Times New Roman"/>
                <w:sz w:val="18"/>
                <w:szCs w:val="18"/>
                <w:b w:val="1"/>
                <w:bCs w:val="1"/>
                <w:color w:val="auto"/>
              </w:rPr>
              <w:t>September 30, 2026 compared to</w:t>
            </w:r>
          </w:p>
        </w:tc>
      </w:tr>
      <w:tr>
        <w:trPr>
          <w:trHeight w:val="238"/>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gridSpan w:val="7"/>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the three months ended September 30, 2025</w:t>
            </w:r>
          </w:p>
        </w:tc>
      </w:tr>
      <w:tr>
        <w:trPr>
          <w:trHeight w:val="214"/>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Total Increase</w:t>
            </w:r>
          </w:p>
        </w:tc>
      </w:tr>
      <w:tr>
        <w:trPr>
          <w:trHeight w:val="245"/>
        </w:trPr>
        <w:tc>
          <w:tcPr>
            <w:tcW w:w="20" w:type="dxa"/>
            <w:vAlign w:val="bottom"/>
            <w:tcBorders>
              <w:bottom w:val="single" w:sz="8" w:color="auto"/>
            </w:tcBorders>
          </w:tcPr>
          <w:p>
            <w:pPr>
              <w:spacing w:after="0"/>
              <w:rPr>
                <w:sz w:val="21"/>
                <w:szCs w:val="21"/>
                <w:color w:val="auto"/>
              </w:rPr>
            </w:pPr>
          </w:p>
        </w:tc>
        <w:tc>
          <w:tcPr>
            <w:tcW w:w="6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70"/>
        </w:trPr>
        <w:tc>
          <w:tcPr>
            <w:tcW w:w="20" w:type="dxa"/>
            <w:vAlign w:val="bottom"/>
            <w:shd w:val="clear" w:color="auto" w:fill="CCEEFF"/>
          </w:tcPr>
          <w:p>
            <w:pPr>
              <w:spacing w:after="0"/>
              <w:rPr>
                <w:sz w:val="23"/>
                <w:szCs w:val="23"/>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Interest-earning deposits in banks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r>
      <w:tr>
        <w:trPr>
          <w:trHeight w:val="263"/>
        </w:trPr>
        <w:tc>
          <w:tcPr>
            <w:tcW w:w="20" w:type="dxa"/>
            <w:vAlign w:val="bottom"/>
          </w:tcPr>
          <w:p>
            <w:pPr>
              <w:spacing w:after="0"/>
              <w:rPr>
                <w:sz w:val="22"/>
                <w:szCs w:val="22"/>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0"/>
        </w:trPr>
        <w:tc>
          <w:tcPr>
            <w:tcW w:w="20" w:type="dxa"/>
            <w:vAlign w:val="bottom"/>
            <w:shd w:val="clear" w:color="auto" w:fill="CCEEFF"/>
          </w:tcPr>
          <w:p>
            <w:pPr>
              <w:spacing w:after="0"/>
              <w:rPr>
                <w:sz w:val="23"/>
                <w:szCs w:val="23"/>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 and sale</w:t>
            </w:r>
          </w:p>
        </w:tc>
        <w:tc>
          <w:tcPr>
            <w:tcW w:w="3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12,135</w:t>
            </w:r>
          </w:p>
        </w:tc>
      </w:tr>
      <w:tr>
        <w:trPr>
          <w:trHeight w:val="263"/>
        </w:trPr>
        <w:tc>
          <w:tcPr>
            <w:tcW w:w="20" w:type="dxa"/>
            <w:vAlign w:val="bottom"/>
            <w:tcBorders>
              <w:bottom w:val="single" w:sz="8" w:color="CCEEFF"/>
            </w:tcBorders>
          </w:tcPr>
          <w:p>
            <w:pPr>
              <w:spacing w:after="0"/>
              <w:rPr>
                <w:sz w:val="22"/>
                <w:szCs w:val="22"/>
                <w:color w:val="auto"/>
              </w:rPr>
            </w:pPr>
          </w:p>
        </w:tc>
        <w:tc>
          <w:tcPr>
            <w:tcW w:w="62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14,329</w:t>
            </w:r>
          </w:p>
        </w:tc>
      </w:tr>
      <w:tr>
        <w:trPr>
          <w:trHeight w:val="270"/>
        </w:trPr>
        <w:tc>
          <w:tcPr>
            <w:tcW w:w="20" w:type="dxa"/>
            <w:vAlign w:val="bottom"/>
            <w:shd w:val="clear" w:color="auto" w:fill="CCEEFF"/>
          </w:tcPr>
          <w:p>
            <w:pPr>
              <w:spacing w:after="0"/>
              <w:rPr>
                <w:sz w:val="23"/>
                <w:szCs w:val="23"/>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63"/>
        </w:trPr>
        <w:tc>
          <w:tcPr>
            <w:tcW w:w="20" w:type="dxa"/>
            <w:vAlign w:val="bottom"/>
          </w:tcPr>
          <w:p>
            <w:pPr>
              <w:spacing w:after="0"/>
              <w:rPr>
                <w:sz w:val="22"/>
                <w:szCs w:val="22"/>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Savings accounts</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7"/>
        </w:trPr>
        <w:tc>
          <w:tcPr>
            <w:tcW w:w="20" w:type="dxa"/>
            <w:vAlign w:val="bottom"/>
            <w:shd w:val="clear" w:color="auto" w:fill="CCEEFF"/>
          </w:tcPr>
          <w:p>
            <w:pPr>
              <w:spacing w:after="0"/>
              <w:rPr>
                <w:sz w:val="24"/>
                <w:szCs w:val="24"/>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w:t>
            </w:r>
          </w:p>
        </w:tc>
      </w:tr>
      <w:tr>
        <w:trPr>
          <w:trHeight w:val="263"/>
        </w:trPr>
        <w:tc>
          <w:tcPr>
            <w:tcW w:w="20" w:type="dxa"/>
            <w:vAlign w:val="bottom"/>
          </w:tcPr>
          <w:p>
            <w:pPr>
              <w:spacing w:after="0"/>
              <w:rPr>
                <w:sz w:val="22"/>
                <w:szCs w:val="22"/>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Time accounts</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w:t>
            </w:r>
          </w:p>
        </w:tc>
      </w:tr>
      <w:tr>
        <w:trPr>
          <w:trHeight w:val="270"/>
        </w:trPr>
        <w:tc>
          <w:tcPr>
            <w:tcW w:w="20" w:type="dxa"/>
            <w:vAlign w:val="bottom"/>
            <w:shd w:val="clear" w:color="auto" w:fill="CCEEFF"/>
          </w:tcPr>
          <w:p>
            <w:pPr>
              <w:spacing w:after="0"/>
              <w:rPr>
                <w:sz w:val="23"/>
                <w:szCs w:val="23"/>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 and other borrowings</w:t>
            </w:r>
          </w:p>
        </w:tc>
        <w:tc>
          <w:tcPr>
            <w:tcW w:w="3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Borders>
              <w:bottom w:val="single" w:sz="8" w:color="CCEEFF"/>
            </w:tcBorders>
          </w:tcPr>
          <w:p>
            <w:pPr>
              <w:spacing w:after="0"/>
              <w:rPr>
                <w:sz w:val="22"/>
                <w:szCs w:val="22"/>
                <w:color w:val="auto"/>
              </w:rPr>
            </w:pPr>
          </w:p>
        </w:tc>
        <w:tc>
          <w:tcPr>
            <w:tcW w:w="62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w:t>
            </w:r>
          </w:p>
        </w:tc>
      </w:tr>
      <w:tr>
        <w:trPr>
          <w:trHeight w:val="295"/>
        </w:trPr>
        <w:tc>
          <w:tcPr>
            <w:tcW w:w="20" w:type="dxa"/>
            <w:vAlign w:val="bottom"/>
            <w:tcBorders>
              <w:bottom w:val="single" w:sz="8" w:color="CCEEFF"/>
            </w:tcBorders>
            <w:shd w:val="clear" w:color="auto" w:fill="CCEEFF"/>
          </w:tcPr>
          <w:p>
            <w:pPr>
              <w:spacing w:after="0"/>
              <w:rPr>
                <w:sz w:val="24"/>
                <w:szCs w:val="24"/>
                <w:color w:val="auto"/>
              </w:rPr>
            </w:pPr>
          </w:p>
        </w:tc>
        <w:tc>
          <w:tcPr>
            <w:tcW w:w="626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Changes in net interest income/margin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compared to the three months ended September 30, 2025, net interest income during the three months ended September 30, 2026 increased by $11.6 million, or 29.42%, to $50.9 million from $39.3 million. Net interest margin totaled 3.69% for the three months ended September 30, 2026, an increase of 13 basis points compared to the same quarter of the prior year. The increase primarily reflected balance sheet growth and lower deposit funding costs following three Federal Reserve rate cuts that began in September 2025, partially offset by lower yields on interest-earning assets. The increase in net interest income is primarily attributable to a $14.3 million increase in interest income, mainly due to a $780.8 million, or 20.38%, increase in the average balance of loans and a $321.4 million, or 71.17%, increase in the average balance of interest-earning deposits in banks. The benefit from higher average earning assets was partially offset by a 13-basis-point decrease in the yield on interest-earning assets to 5.74%. The average loan yield remained stable at 6.14%, as the effect of lower rates on repricing loans was offset by loan growth and changes in portfolio mix. This increase in interest income was partially offset by a $2.8 million increase in interest expense, stemming from a $946.6 million, or 23.89%, increase in the average balance of deposits during the three months ended September 30, 2026, moderated by a 25-basis-point decrease in the average cost of deposits compared to the same quarter of the prior year, reflecting deposit repricing following the three Federal Reserve rate cuts that began in September 2025 and an improved funding mix. Further supporting the decreasing average cost of deposits, the average balance of non-interest-bearing deposits increased by $195.5 million, or 19.23%, and brokered deposits decreased from $216.4 million to zero compared to the same period of the prior year.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Nine months ended September 30, 2026 compared to nine months ended September 30, 2025</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income increased by $30.6 million, or 27.88%, for the nine months ended September 30, 2026 compared to the nine months ended September 30, 2025, and our net interest margin increased by 15 basis points when compared to the same period in 2025. The increase primarily reflected balance sheet growth and lower deposit funding costs following three Federal Reserve rate cuts that began in September 2025, partially offset by lower yields on interest-earning assets. Additional detail relating to net interest margin in each period is provided below.</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47" w:name="page48"/>
    <w:bookmarkEnd w:id="47"/>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Average balance sheet, interest, and yield/rate analysis. </w:t>
      </w:r>
      <w:r>
        <w:rPr>
          <w:rFonts w:ascii="Times New Roman" w:cs="Times New Roman" w:eastAsia="Times New Roman" w:hAnsi="Times New Roman"/>
          <w:sz w:val="18"/>
          <w:szCs w:val="18"/>
          <w:color w:val="auto"/>
        </w:rPr>
        <w:t>Table 5 presents average balance sheet information, interest income, interest expense,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average yield earned or rate paid for each period reported. The average balances are daily averages and include both performing and nonperforming loans.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Table 5: Average Balances, Interest, and Yield/Rate</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gridSpan w:val="7"/>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40" w:type="dxa"/>
            <w:vAlign w:val="bottom"/>
            <w:gridSpan w:val="7"/>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September 30, 2026</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33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Income/Expense</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Income/Expense</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18"/>
                <w:szCs w:val="18"/>
                <w:color w:val="auto"/>
              </w:rPr>
              <w:t>Interest-earning deposits in banks</w:t>
            </w:r>
            <w:r>
              <w:rPr>
                <w:rFonts w:ascii="Times New Roman" w:cs="Times New Roman" w:eastAsia="Times New Roman" w:hAnsi="Times New Roman"/>
                <w:sz w:val="23"/>
                <w:szCs w:val="23"/>
                <w:color w:val="auto"/>
                <w:vertAlign w:val="superscript"/>
              </w:rPr>
              <w:t>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655,069</w:t>
            </w:r>
          </w:p>
        </w:tc>
        <w:tc>
          <w:tcPr>
            <w:tcW w:w="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381,107</w:t>
            </w:r>
          </w:p>
        </w:tc>
        <w:tc>
          <w:tcPr>
            <w:tcW w:w="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440" w:type="dxa"/>
            <w:vAlign w:val="bottom"/>
            <w:gridSpan w:val="2"/>
            <w:shd w:val="clear" w:color="auto" w:fill="CCEEFF"/>
          </w:tcPr>
          <w:p>
            <w:pPr>
              <w:ind w:left="120"/>
              <w:spacing w:after="0" w:line="243" w:lineRule="exact"/>
              <w:rPr>
                <w:sz w:val="20"/>
                <w:szCs w:val="20"/>
                <w:color w:val="auto"/>
              </w:rPr>
            </w:pPr>
            <w:r>
              <w:rPr>
                <w:rFonts w:ascii="Times New Roman" w:cs="Times New Roman" w:eastAsia="Times New Roman" w:hAnsi="Times New Roman"/>
                <w:sz w:val="18"/>
                <w:szCs w:val="18"/>
                <w:color w:val="auto"/>
              </w:rPr>
              <w:t>Investment securities</w:t>
            </w:r>
            <w:r>
              <w:rPr>
                <w:rFonts w:ascii="Times New Roman" w:cs="Times New Roman" w:eastAsia="Times New Roman" w:hAnsi="Times New Roman"/>
                <w:sz w:val="23"/>
                <w:szCs w:val="23"/>
                <w:color w:val="auto"/>
                <w:vertAlign w:val="superscript"/>
              </w:rPr>
              <w:t>1,2</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93,481</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98,375</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3440" w:type="dxa"/>
            <w:vAlign w:val="bottom"/>
            <w:tcBorders>
              <w:bottom w:val="single" w:sz="8" w:color="CCEEFF"/>
            </w:tcBorders>
            <w:gridSpan w:val="2"/>
          </w:tcPr>
          <w:p>
            <w:pPr>
              <w:ind w:left="120"/>
              <w:spacing w:after="0" w:line="243" w:lineRule="exact"/>
              <w:rPr>
                <w:sz w:val="20"/>
                <w:szCs w:val="20"/>
                <w:color w:val="auto"/>
              </w:rPr>
            </w:pPr>
            <w:r>
              <w:rPr>
                <w:rFonts w:ascii="Times New Roman" w:cs="Times New Roman" w:eastAsia="Times New Roman" w:hAnsi="Times New Roman"/>
                <w:sz w:val="18"/>
                <w:szCs w:val="18"/>
                <w:color w:val="auto"/>
              </w:rPr>
              <w:t>Loans held for investment and sale</w:t>
            </w:r>
            <w:r>
              <w:rPr>
                <w:rFonts w:ascii="Times New Roman" w:cs="Times New Roman" w:eastAsia="Times New Roman" w:hAnsi="Times New Roman"/>
                <w:sz w:val="23"/>
                <w:szCs w:val="23"/>
                <w:color w:val="auto"/>
                <w:vertAlign w:val="superscript"/>
              </w:rPr>
              <w:t>1,3</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4,365,479</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199,073</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6.10 %</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3,698,120</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168,204</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6.08 %</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3440" w:type="dxa"/>
            <w:vAlign w:val="bottom"/>
            <w:gridSpan w:val="2"/>
            <w:shd w:val="clear" w:color="auto" w:fill="CCEEFF"/>
          </w:tcPr>
          <w:p>
            <w:pPr>
              <w:spacing w:after="0" w:line="236" w:lineRule="exact"/>
              <w:rPr>
                <w:sz w:val="20"/>
                <w:szCs w:val="20"/>
                <w:color w:val="auto"/>
              </w:rPr>
            </w:pPr>
            <w:r>
              <w:rPr>
                <w:rFonts w:ascii="Times New Roman" w:cs="Times New Roman" w:eastAsia="Times New Roman" w:hAnsi="Times New Roman"/>
                <w:sz w:val="18"/>
                <w:szCs w:val="18"/>
                <w:color w:val="auto"/>
              </w:rPr>
              <w:t>Total interest-earning assets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5,114,029</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218,848</w:t>
            </w:r>
          </w:p>
        </w:tc>
        <w:tc>
          <w:tcPr>
            <w:tcW w:w="100" w:type="dxa"/>
            <w:vAlign w:val="bottom"/>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5.72 %</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4,177,602</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182,512</w:t>
            </w:r>
          </w:p>
        </w:tc>
        <w:tc>
          <w:tcPr>
            <w:tcW w:w="100" w:type="dxa"/>
            <w:vAlign w:val="bottom"/>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5.84 %</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3440" w:type="dxa"/>
            <w:vAlign w:val="bottom"/>
            <w:tcBorders>
              <w:bottom w:val="single" w:sz="8" w:color="CCEEFF"/>
            </w:tcBorders>
            <w:gridSpan w:val="2"/>
          </w:tcPr>
          <w:p>
            <w:pPr>
              <w:ind w:left="120"/>
              <w:spacing w:after="0" w:line="236" w:lineRule="exact"/>
              <w:rPr>
                <w:sz w:val="20"/>
                <w:szCs w:val="20"/>
                <w:color w:val="auto"/>
              </w:rPr>
            </w:pPr>
            <w:r>
              <w:rPr>
                <w:rFonts w:ascii="Times New Roman" w:cs="Times New Roman" w:eastAsia="Times New Roman" w:hAnsi="Times New Roman"/>
                <w:sz w:val="18"/>
                <w:szCs w:val="18"/>
                <w:color w:val="auto"/>
              </w:rPr>
              <w:t>Interest receivable and other assets, net</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120,879</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101,825</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5,234,908</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4,279,427</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4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34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440" w:type="dxa"/>
            <w:vAlign w:val="bottom"/>
            <w:gridSpan w:val="2"/>
            <w:shd w:val="clear" w:color="auto" w:fill="CCEEFF"/>
          </w:tcPr>
          <w:p>
            <w:pPr>
              <w:ind w:left="120"/>
              <w:spacing w:after="0" w:line="243" w:lineRule="exact"/>
              <w:rPr>
                <w:sz w:val="20"/>
                <w:szCs w:val="20"/>
                <w:color w:val="auto"/>
              </w:rPr>
            </w:pPr>
            <w:r>
              <w:rPr>
                <w:rFonts w:ascii="Times New Roman" w:cs="Times New Roman" w:eastAsia="Times New Roman" w:hAnsi="Times New Roman"/>
                <w:sz w:val="18"/>
                <w:szCs w:val="18"/>
                <w:color w:val="auto"/>
              </w:rPr>
              <w:t>Interest-bearing transaction accounts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388,929</w:t>
            </w:r>
          </w:p>
        </w:tc>
        <w:tc>
          <w:tcPr>
            <w:tcW w:w="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295,933</w:t>
            </w:r>
          </w:p>
        </w:tc>
        <w:tc>
          <w:tcPr>
            <w:tcW w:w="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18"/>
                <w:szCs w:val="18"/>
                <w:color w:val="auto"/>
              </w:rPr>
              <w:t>Savings accounts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144,299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125,449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440" w:type="dxa"/>
            <w:vAlign w:val="bottom"/>
            <w:gridSpan w:val="2"/>
            <w:shd w:val="clear" w:color="auto" w:fill="CCEEFF"/>
          </w:tcPr>
          <w:p>
            <w:pPr>
              <w:ind w:left="120"/>
              <w:spacing w:after="0" w:line="243" w:lineRule="exact"/>
              <w:rPr>
                <w:sz w:val="20"/>
                <w:szCs w:val="20"/>
                <w:color w:val="auto"/>
              </w:rPr>
            </w:pPr>
            <w:r>
              <w:rPr>
                <w:rFonts w:ascii="Times New Roman" w:cs="Times New Roman" w:eastAsia="Times New Roman" w:hAnsi="Times New Roman"/>
                <w:sz w:val="18"/>
                <w:szCs w:val="18"/>
                <w:color w:val="auto"/>
              </w:rPr>
              <w:t>Money market accounts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2,526,136</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56,897</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1,688,753</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41,052</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18"/>
                <w:szCs w:val="18"/>
                <w:color w:val="auto"/>
              </w:rPr>
              <w:t>Time accounts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402,695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690,506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22,318</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440" w:type="dxa"/>
            <w:vAlign w:val="bottom"/>
            <w:gridSpan w:val="2"/>
            <w:shd w:val="clear" w:color="auto" w:fill="CCEEFF"/>
          </w:tcPr>
          <w:p>
            <w:pPr>
              <w:ind w:left="120"/>
              <w:spacing w:after="0" w:line="243" w:lineRule="exact"/>
              <w:rPr>
                <w:sz w:val="20"/>
                <w:szCs w:val="20"/>
                <w:color w:val="auto"/>
              </w:rPr>
            </w:pPr>
            <w:r>
              <w:rPr>
                <w:rFonts w:ascii="Times New Roman" w:cs="Times New Roman" w:eastAsia="Times New Roman" w:hAnsi="Times New Roman"/>
                <w:sz w:val="18"/>
                <w:szCs w:val="18"/>
                <w:color w:val="auto"/>
              </w:rPr>
              <w:t>Subordinated notes and other borrowings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74,097</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6.29 %</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73,952</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6.30 %</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3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3,536,156</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78,382</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2,874,593</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72,672</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Demand accounts</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1,166,376</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961,903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payable and other liabilities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499,175</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411,257</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5,234,908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4,279,427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33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top w:val="single" w:sz="8" w:color="auto"/>
              <w:bottom w:val="single" w:sz="8" w:color="CCEEFF"/>
            </w:tcBorders>
          </w:tcPr>
          <w:p>
            <w:pPr>
              <w:spacing w:after="0"/>
              <w:rPr>
                <w:sz w:val="3"/>
                <w:szCs w:val="3"/>
                <w:color w:val="auto"/>
              </w:rPr>
            </w:pPr>
          </w:p>
        </w:tc>
        <w:tc>
          <w:tcPr>
            <w:tcW w:w="860" w:type="dxa"/>
            <w:vAlign w:val="bottom"/>
            <w:tcBorders>
              <w:top w:val="single" w:sz="8" w:color="auto"/>
              <w:bottom w:val="single" w:sz="8" w:color="CCEEFF"/>
            </w:tcBorders>
          </w:tcPr>
          <w:p>
            <w:pPr>
              <w:spacing w:after="0"/>
              <w:rPr>
                <w:sz w:val="3"/>
                <w:szCs w:val="3"/>
                <w:color w:val="auto"/>
              </w:rPr>
            </w:pPr>
          </w:p>
        </w:tc>
        <w:tc>
          <w:tcPr>
            <w:tcW w:w="60" w:type="dxa"/>
            <w:vAlign w:val="bottom"/>
            <w:tcBorders>
              <w:top w:val="single" w:sz="8" w:color="auto"/>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top w:val="single" w:sz="8" w:color="auto"/>
              <w:bottom w:val="single" w:sz="8" w:color="CCEEFF"/>
            </w:tcBorders>
          </w:tcPr>
          <w:p>
            <w:pPr>
              <w:spacing w:after="0"/>
              <w:rPr>
                <w:sz w:val="3"/>
                <w:szCs w:val="3"/>
                <w:color w:val="auto"/>
              </w:rPr>
            </w:pPr>
          </w:p>
        </w:tc>
        <w:tc>
          <w:tcPr>
            <w:tcW w:w="960" w:type="dxa"/>
            <w:vAlign w:val="bottom"/>
            <w:tcBorders>
              <w:top w:val="single" w:sz="8" w:color="auto"/>
              <w:bottom w:val="single" w:sz="8" w:color="CCEEFF"/>
            </w:tcBorders>
          </w:tcPr>
          <w:p>
            <w:pPr>
              <w:spacing w:after="0"/>
              <w:rPr>
                <w:sz w:val="3"/>
                <w:szCs w:val="3"/>
                <w:color w:val="auto"/>
              </w:rPr>
            </w:pPr>
          </w:p>
        </w:tc>
        <w:tc>
          <w:tcPr>
            <w:tcW w:w="40" w:type="dxa"/>
            <w:vAlign w:val="bottom"/>
            <w:tcBorders>
              <w:top w:val="single" w:sz="8" w:color="auto"/>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3440" w:type="dxa"/>
            <w:vAlign w:val="bottom"/>
            <w:tcBorders>
              <w:top w:val="single" w:sz="8" w:color="CCEEFF"/>
              <w:bottom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interest spread</w:t>
            </w:r>
            <w:r>
              <w:rPr>
                <w:rFonts w:ascii="Times New Roman" w:cs="Times New Roman" w:eastAsia="Times New Roman" w:hAnsi="Times New Roman"/>
                <w:sz w:val="23"/>
                <w:szCs w:val="23"/>
                <w:color w:val="auto"/>
                <w:vertAlign w:val="superscript"/>
              </w:rPr>
              <w:t>5</w:t>
            </w: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0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40" w:type="dxa"/>
            <w:vAlign w:val="bottom"/>
            <w:tcBorders>
              <w:top w:val="single" w:sz="8" w:color="CCEEFF"/>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2.76 %</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tcBorders>
            <w:shd w:val="clear" w:color="auto" w:fill="CCEEFF"/>
          </w:tcPr>
          <w:p>
            <w:pPr>
              <w:spacing w:after="0"/>
              <w:rPr>
                <w:sz w:val="22"/>
                <w:szCs w:val="22"/>
                <w:color w:val="auto"/>
              </w:rPr>
            </w:pPr>
          </w:p>
        </w:tc>
        <w:tc>
          <w:tcPr>
            <w:tcW w:w="4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10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40" w:type="dxa"/>
            <w:vAlign w:val="bottom"/>
            <w:tcBorders>
              <w:top w:val="single" w:sz="8" w:color="CCEEFF"/>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2.46 %</w:t>
            </w: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tcPr>
          <w:p>
            <w:pPr>
              <w:spacing w:after="0"/>
              <w:rPr>
                <w:sz w:val="18"/>
                <w:szCs w:val="18"/>
                <w:color w:val="auto"/>
              </w:rPr>
            </w:pPr>
          </w:p>
        </w:tc>
        <w:tc>
          <w:tcPr>
            <w:tcW w:w="3440" w:type="dxa"/>
            <w:vAlign w:val="bottom"/>
            <w:tcBorders>
              <w:top w:val="single" w:sz="8" w:color="CCEEFF"/>
            </w:tcBorders>
            <w:gridSpan w:val="2"/>
          </w:tcPr>
          <w:p>
            <w:pPr>
              <w:spacing w:after="0" w:line="216" w:lineRule="exact"/>
              <w:rPr>
                <w:sz w:val="20"/>
                <w:szCs w:val="20"/>
                <w:color w:val="auto"/>
              </w:rPr>
            </w:pPr>
            <w:r>
              <w:rPr>
                <w:rFonts w:ascii="Times New Roman" w:cs="Times New Roman" w:eastAsia="Times New Roman" w:hAnsi="Times New Roman"/>
                <w:sz w:val="18"/>
                <w:szCs w:val="18"/>
                <w:color w:val="auto"/>
              </w:rPr>
              <w:t>Net interest income/margin</w:t>
            </w:r>
            <w:r>
              <w:rPr>
                <w:rFonts w:ascii="Times New Roman" w:cs="Times New Roman" w:eastAsia="Times New Roman" w:hAnsi="Times New Roman"/>
                <w:sz w:val="23"/>
                <w:szCs w:val="23"/>
                <w:color w:val="auto"/>
                <w:vertAlign w:val="superscript"/>
              </w:rPr>
              <w:t>6</w:t>
            </w:r>
          </w:p>
        </w:tc>
        <w:tc>
          <w:tcPr>
            <w:tcW w:w="2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140,466</w:t>
            </w: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gridSpan w:val="2"/>
          </w:tcPr>
          <w:p>
            <w:pPr>
              <w:spacing w:after="0"/>
              <w:rPr>
                <w:sz w:val="18"/>
                <w:szCs w:val="18"/>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109,840</w:t>
            </w: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hanging="332"/>
        <w:spacing w:after="0" w:line="229" w:lineRule="auto"/>
        <w:tabs>
          <w:tab w:leader="none" w:pos="331"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income/expense is divided by the actual number of days in the period multiplied by the actual number of days in the year to correspond to stated interest rate terms, where applicable.</w:t>
      </w:r>
    </w:p>
    <w:p>
      <w:pPr>
        <w:spacing w:after="0" w:line="198" w:lineRule="exact"/>
        <w:rPr>
          <w:sz w:val="20"/>
          <w:szCs w:val="20"/>
          <w:color w:val="auto"/>
        </w:rPr>
      </w:pPr>
    </w:p>
    <w:p>
      <w:pPr>
        <w:ind w:left="340" w:hanging="332"/>
        <w:spacing w:after="0" w:line="229" w:lineRule="auto"/>
        <w:tabs>
          <w:tab w:leader="none" w:pos="331"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Yields on available-for-sale securities are calculated based on fair value. Investment security interest is earned monthly on a 30/360 day basis. Yields are not calculated on a tax-equivalent basis.</w:t>
      </w:r>
    </w:p>
    <w:p>
      <w:pPr>
        <w:spacing w:after="0" w:line="198" w:lineRule="exact"/>
        <w:rPr>
          <w:sz w:val="20"/>
          <w:szCs w:val="20"/>
          <w:color w:val="auto"/>
        </w:rPr>
      </w:pPr>
    </w:p>
    <w:p>
      <w:pPr>
        <w:ind w:left="340" w:hanging="332"/>
        <w:spacing w:after="0" w:line="229" w:lineRule="auto"/>
        <w:tabs>
          <w:tab w:leader="none" w:pos="331"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Non-accrual loans are included in total loan balances. No adjustment has been made for these loans in the yield calculations. Interest income on loans includes amortization of deferred loan fees, net of deferred loan costs. Allowance for credit losses is not included in total loan balances.</w:t>
      </w:r>
    </w:p>
    <w:p>
      <w:pPr>
        <w:sectPr>
          <w:pgSz w:w="11900" w:h="16838" w:orient="portrait"/>
          <w:cols w:equalWidth="0" w:num="1">
            <w:col w:w="11240"/>
          </w:cols>
          <w:pgMar w:left="320" w:top="1145" w:right="339" w:bottom="1440" w:gutter="0" w:footer="0" w:header="0"/>
        </w:sectPr>
      </w:pP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 is included in interest receivable and other assets,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spread represents the average yield earned on interest-earning assets minus the average rate paid on interest-bearing liabilities.</w:t>
      </w:r>
    </w:p>
    <w:p>
      <w:pPr>
        <w:spacing w:after="0" w:line="225" w:lineRule="exact"/>
        <w:rPr>
          <w:sz w:val="20"/>
          <w:szCs w:val="20"/>
          <w:color w:val="auto"/>
        </w:rPr>
      </w:pPr>
    </w:p>
    <w:p>
      <w:pPr>
        <w:ind w:left="20" w:hanging="8"/>
        <w:spacing w:after="0" w:line="282" w:lineRule="auto"/>
        <w:rPr>
          <w:sz w:val="20"/>
          <w:szCs w:val="20"/>
          <w:color w:val="auto"/>
        </w:rPr>
      </w:pPr>
      <w:r>
        <w:rPr>
          <w:rFonts w:ascii="Times New Roman" w:cs="Times New Roman" w:eastAsia="Times New Roman" w:hAnsi="Times New Roman"/>
          <w:sz w:val="18"/>
          <w:szCs w:val="18"/>
          <w:color w:val="auto"/>
        </w:rPr>
        <w:t>Net interest margin is computed by calculating the difference between interest income and interest expense, divided by the average balance of interest-earning assets, then annualized based on the number of days in the given period.</w:t>
      </w:r>
    </w:p>
    <w:p>
      <w:pPr>
        <w:spacing w:after="0" w:line="200" w:lineRule="exact"/>
        <w:rPr>
          <w:sz w:val="20"/>
          <w:szCs w:val="20"/>
          <w:color w:val="auto"/>
        </w:rPr>
      </w:pPr>
    </w:p>
    <w:p>
      <w:pPr>
        <w:sectPr>
          <w:pgSz w:w="11900" w:h="16838" w:orient="portrait"/>
          <w:cols w:equalWidth="0" w:num="2">
            <w:col w:w="60" w:space="260"/>
            <w:col w:w="10920"/>
          </w:cols>
          <w:pgMar w:left="320" w:top="1145" w:right="339" w:bottom="1440" w:gutter="0" w:footer="0" w:header="0"/>
          <w:type w:val="continuous"/>
        </w:sect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type w:val="continuous"/>
        </w:sectPr>
      </w:pPr>
    </w:p>
    <w:bookmarkStart w:id="48" w:name="page49"/>
    <w:bookmarkEnd w:id="48"/>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Analysis of changes in interest income and expenses. </w:t>
      </w:r>
      <w:r>
        <w:rPr>
          <w:rFonts w:ascii="Times New Roman" w:cs="Times New Roman" w:eastAsia="Times New Roman" w:hAnsi="Times New Roman"/>
          <w:sz w:val="18"/>
          <w:szCs w:val="18"/>
          <w:color w:val="auto"/>
        </w:rPr>
        <w:t>Increases and decreases in interest income and interest expense result from changes in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balances (volume) of interest-earning assets and interest-bearing liabilities, as well as changes in average yields/rates. Table 6 shows the effect that these factors had on the interest earned from our interest-earning assets and interest incurred on our interest-bearing liabilities. The effect of changes in volume is determined by multiplying the change in volume by the current period’s average yield/rate. The effect of rate changes is calculated by multiplying the change in average yield/rate by the previous period’s volume. Changes not solely attributable to volume or yields/rates have been allocated in proportion to the respective volume and yield/rate components.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6: Interest Income and Expense Change Analysis</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3980" w:type="dxa"/>
            <w:vAlign w:val="bottom"/>
            <w:tcBorders>
              <w:top w:val="single" w:sz="8" w:color="auto"/>
            </w:tcBorders>
          </w:tcPr>
          <w:p>
            <w:pPr>
              <w:spacing w:after="0"/>
              <w:rPr>
                <w:sz w:val="21"/>
                <w:szCs w:val="21"/>
                <w:color w:val="auto"/>
              </w:rPr>
            </w:pPr>
          </w:p>
        </w:tc>
        <w:tc>
          <w:tcPr>
            <w:tcW w:w="2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60" w:type="dxa"/>
            <w:vAlign w:val="bottom"/>
            <w:gridSpan w:val="6"/>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1400" w:type="dxa"/>
            <w:vAlign w:val="bottom"/>
          </w:tcPr>
          <w:p>
            <w:pPr>
              <w:spacing w:after="0"/>
              <w:rPr>
                <w:sz w:val="21"/>
                <w:szCs w:val="21"/>
                <w:color w:val="auto"/>
              </w:rPr>
            </w:pPr>
          </w:p>
        </w:tc>
      </w:tr>
      <w:tr>
        <w:trPr>
          <w:trHeight w:val="180"/>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60" w:type="dxa"/>
            <w:vAlign w:val="bottom"/>
            <w:gridSpan w:val="7"/>
          </w:tcPr>
          <w:p>
            <w:pPr>
              <w:jc w:val="center"/>
              <w:ind w:right="210"/>
              <w:spacing w:after="0" w:line="180" w:lineRule="exact"/>
              <w:rPr>
                <w:sz w:val="20"/>
                <w:szCs w:val="20"/>
                <w:color w:val="auto"/>
              </w:rPr>
            </w:pPr>
            <w:r>
              <w:rPr>
                <w:rFonts w:ascii="Times New Roman" w:cs="Times New Roman" w:eastAsia="Times New Roman" w:hAnsi="Times New Roman"/>
                <w:sz w:val="18"/>
                <w:szCs w:val="18"/>
                <w:b w:val="1"/>
                <w:bCs w:val="1"/>
                <w:color w:val="auto"/>
              </w:rPr>
              <w:t>September 30, 2026 compared to</w:t>
            </w:r>
          </w:p>
        </w:tc>
      </w:tr>
      <w:tr>
        <w:trPr>
          <w:trHeight w:val="238"/>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gridSpan w:val="7"/>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the nine months ended September 30, 2025</w:t>
            </w:r>
          </w:p>
        </w:tc>
      </w:tr>
      <w:tr>
        <w:trPr>
          <w:trHeight w:val="214"/>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Increase</w:t>
            </w:r>
          </w:p>
        </w:tc>
      </w:tr>
      <w:tr>
        <w:trPr>
          <w:trHeight w:val="252"/>
        </w:trPr>
        <w:tc>
          <w:tcPr>
            <w:tcW w:w="20" w:type="dxa"/>
            <w:vAlign w:val="bottom"/>
            <w:tcBorders>
              <w:bottom w:val="single" w:sz="8" w:color="auto"/>
            </w:tcBorders>
          </w:tcPr>
          <w:p>
            <w:pPr>
              <w:spacing w:after="0"/>
              <w:rPr>
                <w:sz w:val="21"/>
                <w:szCs w:val="21"/>
                <w:color w:val="auto"/>
              </w:rPr>
            </w:pPr>
          </w:p>
        </w:tc>
        <w:tc>
          <w:tcPr>
            <w:tcW w:w="6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63"/>
        </w:trPr>
        <w:tc>
          <w:tcPr>
            <w:tcW w:w="20" w:type="dxa"/>
            <w:vAlign w:val="bottom"/>
            <w:shd w:val="clear" w:color="auto" w:fill="CCEEFF"/>
          </w:tcPr>
          <w:p>
            <w:pPr>
              <w:spacing w:after="0"/>
              <w:rPr>
                <w:sz w:val="22"/>
                <w:szCs w:val="22"/>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Interest-earning deposits in banks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w:t>
            </w:r>
          </w:p>
        </w:tc>
      </w:tr>
      <w:tr>
        <w:trPr>
          <w:trHeight w:val="263"/>
        </w:trPr>
        <w:tc>
          <w:tcPr>
            <w:tcW w:w="20" w:type="dxa"/>
            <w:vAlign w:val="bottom"/>
          </w:tcPr>
          <w:p>
            <w:pPr>
              <w:spacing w:after="0"/>
              <w:rPr>
                <w:sz w:val="22"/>
                <w:szCs w:val="22"/>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70"/>
        </w:trPr>
        <w:tc>
          <w:tcPr>
            <w:tcW w:w="20" w:type="dxa"/>
            <w:vAlign w:val="bottom"/>
            <w:shd w:val="clear" w:color="auto" w:fill="CCEEFF"/>
          </w:tcPr>
          <w:p>
            <w:pPr>
              <w:spacing w:after="0"/>
              <w:rPr>
                <w:sz w:val="23"/>
                <w:szCs w:val="23"/>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 and sale</w:t>
            </w:r>
          </w:p>
        </w:tc>
        <w:tc>
          <w:tcPr>
            <w:tcW w:w="3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30,869</w:t>
            </w:r>
          </w:p>
        </w:tc>
      </w:tr>
      <w:tr>
        <w:trPr>
          <w:trHeight w:val="263"/>
        </w:trPr>
        <w:tc>
          <w:tcPr>
            <w:tcW w:w="20" w:type="dxa"/>
            <w:vAlign w:val="bottom"/>
            <w:tcBorders>
              <w:bottom w:val="single" w:sz="8" w:color="CCEEFF"/>
            </w:tcBorders>
          </w:tcPr>
          <w:p>
            <w:pPr>
              <w:spacing w:after="0"/>
              <w:rPr>
                <w:sz w:val="22"/>
                <w:szCs w:val="22"/>
                <w:color w:val="auto"/>
              </w:rPr>
            </w:pPr>
          </w:p>
        </w:tc>
        <w:tc>
          <w:tcPr>
            <w:tcW w:w="62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37,974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36,336</w:t>
            </w:r>
          </w:p>
        </w:tc>
      </w:tr>
      <w:tr>
        <w:trPr>
          <w:trHeight w:val="270"/>
        </w:trPr>
        <w:tc>
          <w:tcPr>
            <w:tcW w:w="20" w:type="dxa"/>
            <w:vAlign w:val="bottom"/>
            <w:shd w:val="clear" w:color="auto" w:fill="CCEEFF"/>
          </w:tcPr>
          <w:p>
            <w:pPr>
              <w:spacing w:after="0"/>
              <w:rPr>
                <w:sz w:val="23"/>
                <w:szCs w:val="23"/>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r>
      <w:tr>
        <w:trPr>
          <w:trHeight w:val="263"/>
        </w:trPr>
        <w:tc>
          <w:tcPr>
            <w:tcW w:w="20" w:type="dxa"/>
            <w:vAlign w:val="bottom"/>
          </w:tcPr>
          <w:p>
            <w:pPr>
              <w:spacing w:after="0"/>
              <w:rPr>
                <w:sz w:val="22"/>
                <w:szCs w:val="22"/>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Savings accounts</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77"/>
        </w:trPr>
        <w:tc>
          <w:tcPr>
            <w:tcW w:w="20" w:type="dxa"/>
            <w:vAlign w:val="bottom"/>
            <w:shd w:val="clear" w:color="auto" w:fill="CCEEFF"/>
          </w:tcPr>
          <w:p>
            <w:pPr>
              <w:spacing w:after="0"/>
              <w:rPr>
                <w:sz w:val="24"/>
                <w:szCs w:val="24"/>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15,845</w:t>
            </w:r>
          </w:p>
        </w:tc>
      </w:tr>
      <w:tr>
        <w:trPr>
          <w:trHeight w:val="263"/>
        </w:trPr>
        <w:tc>
          <w:tcPr>
            <w:tcW w:w="20" w:type="dxa"/>
            <w:vAlign w:val="bottom"/>
          </w:tcPr>
          <w:p>
            <w:pPr>
              <w:spacing w:after="0"/>
              <w:rPr>
                <w:sz w:val="22"/>
                <w:szCs w:val="22"/>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Time accounts</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(11,143)</w:t>
            </w:r>
          </w:p>
        </w:tc>
      </w:tr>
      <w:tr>
        <w:trPr>
          <w:trHeight w:val="270"/>
        </w:trPr>
        <w:tc>
          <w:tcPr>
            <w:tcW w:w="20" w:type="dxa"/>
            <w:vAlign w:val="bottom"/>
            <w:shd w:val="clear" w:color="auto" w:fill="CCEEFF"/>
          </w:tcPr>
          <w:p>
            <w:pPr>
              <w:spacing w:after="0"/>
              <w:rPr>
                <w:sz w:val="23"/>
                <w:szCs w:val="23"/>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 and other borrowings</w:t>
            </w:r>
          </w:p>
        </w:tc>
        <w:tc>
          <w:tcPr>
            <w:tcW w:w="3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20" w:type="dxa"/>
            <w:vAlign w:val="bottom"/>
            <w:tcBorders>
              <w:bottom w:val="single" w:sz="8" w:color="CCEEFF"/>
            </w:tcBorders>
          </w:tcPr>
          <w:p>
            <w:pPr>
              <w:spacing w:after="0"/>
              <w:rPr>
                <w:sz w:val="22"/>
                <w:szCs w:val="22"/>
                <w:color w:val="auto"/>
              </w:rPr>
            </w:pPr>
          </w:p>
        </w:tc>
        <w:tc>
          <w:tcPr>
            <w:tcW w:w="62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(6,519)</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5,710</w:t>
            </w:r>
          </w:p>
        </w:tc>
      </w:tr>
      <w:tr>
        <w:trPr>
          <w:trHeight w:val="295"/>
        </w:trPr>
        <w:tc>
          <w:tcPr>
            <w:tcW w:w="20" w:type="dxa"/>
            <w:vAlign w:val="bottom"/>
            <w:tcBorders>
              <w:bottom w:val="single" w:sz="8" w:color="CCEEFF"/>
            </w:tcBorders>
            <w:shd w:val="clear" w:color="auto" w:fill="CCEEFF"/>
          </w:tcPr>
          <w:p>
            <w:pPr>
              <w:spacing w:after="0"/>
              <w:rPr>
                <w:sz w:val="24"/>
                <w:szCs w:val="24"/>
                <w:color w:val="auto"/>
              </w:rPr>
            </w:pPr>
          </w:p>
        </w:tc>
        <w:tc>
          <w:tcPr>
            <w:tcW w:w="626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Changes in net interest income/margin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compared to the nine months ended September 30, 2025, net interest income during the nine months ended September 30, 2026 increased by $30.6 million, or 27.88%, to $140.5 million from $109.8 million. Net interest margin totaled 3.67% for the nine months ended September 30, 2026, an increase of 15 basis points compared to the same period of the prior year. The increase primarily reflected balance sheet growth and lower deposit funding costs following three Federal Reserve rate cuts that began in September 2025, partially offset by lower yields on interest-earning assets. The increase in net interest income is primarily attributable to a $36.3 million increase in interest income, mainly due to a $667.4 million, or 18.05%, increase in the average balance of loans and a $274.0 million, or 71.89%, increase in the average balance of interest-earning deposits in banks. The benefit from higher average earning assets was partially offset by a 12-basis-point decrease in the yield on interest-earning assets to 5.72%. The average loan yield increased by two basis points to 6.10%, as loan growth and changes in portfolio mix offset the effect of lower rates on repricing loans. This increase in interest income was partially offset by a $5.7 million increase in interest expense, stemming from a $865.9 million, or 23.01%, increase in the average balance of deposits during the nine months ended September 30, 2026, moderated by a 30-basis-point decrease in the cost of deposits to 2.16% compared to the same period of the prior year, reflecting deposit repricing following the three Federal Reserve rate cuts that began in September 2025 and an improved funding mix. Further supporting the decreasing average cost of deposits, the average balance of non-interest-bearing deposits increased by $204.5 million, or 21.26%, as compared to the same period of the prior year, and the average balance of brokered deposits decreased from $293.3 million to $72.4 million, a $221.0 million, or 75.33%, decrease from the same period of the prior year.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 for credit losses is based on management’s assessment of the adequacy of our allowance for credit losses. Factors impacting the provision include inherent risk characteristics in our loan portfolio, the level of nonperforming loans and net charge-offs, both current and historic, local economic and credit conditions, the direction of the change in collateral values, and the funding probability on unfunded lending commitments. The provision for credit losses is charged against earnings in order to maintain our allowance for credit losses, which reflects management’s best estimate of expected life of loan losses in our loan portfolio at the balance sheet date.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auto"/>
        </w:rPr>
        <w:t>Three months ended September 30, 2026 compared to three months ended September 30, 2025</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a $2.5 million provision for credit losses in the third quarter of 2026, as compared to a $2.5 million provision for credit losses for the same period of 2025. The lack of change in the provision for credit losses in the third quarter of 2026 reflects loan growth and changes resulting from the annual CECL model refresh, offset by a decrease in the provision for unfunded commitments in the three months ended September 30, 2026 compared to the three months ended September 30,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Nine months ended September 30, 2026 compared to nine months ended September 30, 2025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 $7.4 million provision for credit losses in the first nine months of 2026, as compared to a $6.9 million provision for credit losses for the same period of 2025. The increase in the provision for credit losses recorded during the first nine months of 2026 is mainly due to loan growth and changes resulting from the annual CECL model refresh, partially offset by lower charge-offs.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income is a secondary contributor to our net income, following interest income. Non-interest income consists of service charges on deposit accounts, gain on sale of loans, loan-related fees, FHLB stock dividends, earnings on BOLI, and other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months ended September 30, 2026 compared to three months ended September 30,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7 details the components of non-interest income for the periods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7: Non-interest Income</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63"/>
        </w:trPr>
        <w:tc>
          <w:tcPr>
            <w:tcW w:w="20" w:type="dxa"/>
            <w:vAlign w:val="bottom"/>
          </w:tcPr>
          <w:p>
            <w:pPr>
              <w:spacing w:after="0"/>
              <w:rPr>
                <w:sz w:val="22"/>
                <w:szCs w:val="22"/>
                <w:color w:val="auto"/>
              </w:rPr>
            </w:pPr>
          </w:p>
        </w:tc>
        <w:tc>
          <w:tcPr>
            <w:tcW w:w="2120" w:type="dxa"/>
            <w:vAlign w:val="bottom"/>
            <w:tcBorders>
              <w:top w:val="single" w:sz="8" w:color="auto"/>
            </w:tcBorders>
          </w:tcPr>
          <w:p>
            <w:pPr>
              <w:spacing w:after="0"/>
              <w:rPr>
                <w:sz w:val="22"/>
                <w:szCs w:val="22"/>
                <w:color w:val="auto"/>
              </w:rPr>
            </w:pPr>
          </w:p>
        </w:tc>
        <w:tc>
          <w:tcPr>
            <w:tcW w:w="2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4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20" w:type="dxa"/>
            <w:vAlign w:val="bottom"/>
            <w:shd w:val="clear" w:color="auto" w:fill="CCEEFF"/>
          </w:tcPr>
          <w:p>
            <w:pPr>
              <w:spacing w:after="0"/>
              <w:rPr>
                <w:sz w:val="20"/>
                <w:szCs w:val="20"/>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43"/>
        </w:trPr>
        <w:tc>
          <w:tcPr>
            <w:tcW w:w="20" w:type="dxa"/>
            <w:vAlign w:val="bottom"/>
          </w:tcPr>
          <w:p>
            <w:pPr>
              <w:spacing w:after="0"/>
              <w:rPr>
                <w:sz w:val="21"/>
                <w:szCs w:val="21"/>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Loan-related fees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w:t>
            </w:r>
          </w:p>
        </w:tc>
      </w:tr>
      <w:tr>
        <w:trPr>
          <w:trHeight w:val="243"/>
        </w:trPr>
        <w:tc>
          <w:tcPr>
            <w:tcW w:w="20" w:type="dxa"/>
            <w:vAlign w:val="bottom"/>
            <w:shd w:val="clear" w:color="auto" w:fill="CCEEFF"/>
          </w:tcPr>
          <w:p>
            <w:pPr>
              <w:spacing w:after="0"/>
              <w:rPr>
                <w:sz w:val="21"/>
                <w:szCs w:val="21"/>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FHLB stock dividends</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28.88 %</w:t>
            </w:r>
          </w:p>
        </w:tc>
      </w:tr>
      <w:tr>
        <w:trPr>
          <w:trHeight w:val="243"/>
        </w:trPr>
        <w:tc>
          <w:tcPr>
            <w:tcW w:w="20" w:type="dxa"/>
            <w:vAlign w:val="bottom"/>
          </w:tcPr>
          <w:p>
            <w:pPr>
              <w:spacing w:after="0"/>
              <w:rPr>
                <w:sz w:val="21"/>
                <w:szCs w:val="21"/>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Earnings on BOLI</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29.19 %</w:t>
            </w:r>
          </w:p>
        </w:tc>
      </w:tr>
      <w:tr>
        <w:trPr>
          <w:trHeight w:val="243"/>
        </w:trPr>
        <w:tc>
          <w:tcPr>
            <w:tcW w:w="20" w:type="dxa"/>
            <w:vAlign w:val="bottom"/>
            <w:shd w:val="clear" w:color="auto" w:fill="CCEEFF"/>
          </w:tcPr>
          <w:p>
            <w:pPr>
              <w:spacing w:after="0"/>
              <w:rPr>
                <w:sz w:val="21"/>
                <w:szCs w:val="21"/>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r>
      <w:tr>
        <w:trPr>
          <w:trHeight w:val="236"/>
        </w:trPr>
        <w:tc>
          <w:tcPr>
            <w:tcW w:w="20" w:type="dxa"/>
            <w:vAlign w:val="bottom"/>
          </w:tcPr>
          <w:p>
            <w:pPr>
              <w:spacing w:after="0"/>
              <w:rPr>
                <w:sz w:val="20"/>
                <w:szCs w:val="20"/>
                <w:color w:val="auto"/>
              </w:rPr>
            </w:pPr>
          </w:p>
        </w:tc>
        <w:tc>
          <w:tcPr>
            <w:tcW w:w="4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w:t>
            </w:r>
          </w:p>
        </w:tc>
      </w:tr>
      <w:tr>
        <w:trPr>
          <w:trHeight w:val="21"/>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Loan-related fees. </w:t>
      </w:r>
      <w:r>
        <w:rPr>
          <w:rFonts w:ascii="Times New Roman" w:cs="Times New Roman" w:eastAsia="Times New Roman" w:hAnsi="Times New Roman"/>
          <w:sz w:val="18"/>
          <w:szCs w:val="18"/>
          <w:color w:val="auto"/>
        </w:rPr>
        <w:t>The decrease resulted primarily from a decrease of $0.1 million in fees from swap referrals during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as compared to the three months ended September 30, 2025, combined with $0.1 million in rate lock fees and good faith deposits that were forfeited during the three months ended September 30, 2025 and did not reoccur during the three months ended September 30, 2026.</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The decrease related primarily to an overall decline in earnings related to investments in venture-backed funds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2026, as compared to the three months ended September 30, 2025.</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75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Nine months ended September 30, 2026 compared to nine months ended September 30, 2025</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53"/>
        </w:trPr>
        <w:tc>
          <w:tcPr>
            <w:tcW w:w="65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Table 8 details the components of non-interest income for the periods indicated.</w:t>
            </w:r>
          </w:p>
        </w:tc>
        <w:tc>
          <w:tcPr>
            <w:tcW w:w="18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8: Non-interest Income</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2120" w:type="dxa"/>
            <w:vAlign w:val="bottom"/>
            <w:tcBorders>
              <w:top w:val="single" w:sz="8" w:color="auto"/>
            </w:tcBorders>
          </w:tcPr>
          <w:p>
            <w:pPr>
              <w:spacing w:after="0"/>
              <w:rPr>
                <w:sz w:val="22"/>
                <w:szCs w:val="22"/>
                <w:color w:val="auto"/>
              </w:rPr>
            </w:pPr>
          </w:p>
        </w:tc>
        <w:tc>
          <w:tcPr>
            <w:tcW w:w="2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4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20" w:type="dxa"/>
            <w:vAlign w:val="bottom"/>
            <w:shd w:val="clear" w:color="auto" w:fill="CCEEFF"/>
          </w:tcPr>
          <w:p>
            <w:pPr>
              <w:spacing w:after="0"/>
              <w:rPr>
                <w:sz w:val="20"/>
                <w:szCs w:val="20"/>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r>
      <w:tr>
        <w:trPr>
          <w:trHeight w:val="243"/>
        </w:trPr>
        <w:tc>
          <w:tcPr>
            <w:tcW w:w="20" w:type="dxa"/>
            <w:vAlign w:val="bottom"/>
          </w:tcPr>
          <w:p>
            <w:pPr>
              <w:spacing w:after="0"/>
              <w:rPr>
                <w:sz w:val="21"/>
                <w:szCs w:val="21"/>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 on sale of loans</w:t>
            </w:r>
          </w:p>
        </w:tc>
        <w:tc>
          <w:tcPr>
            <w:tcW w:w="36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43"/>
        </w:trPr>
        <w:tc>
          <w:tcPr>
            <w:tcW w:w="20" w:type="dxa"/>
            <w:vAlign w:val="bottom"/>
            <w:shd w:val="clear" w:color="auto" w:fill="CCEEFF"/>
          </w:tcPr>
          <w:p>
            <w:pPr>
              <w:spacing w:after="0"/>
              <w:rPr>
                <w:sz w:val="21"/>
                <w:szCs w:val="21"/>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Loan-related fees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51.09 %</w:t>
            </w:r>
          </w:p>
        </w:tc>
      </w:tr>
      <w:tr>
        <w:trPr>
          <w:trHeight w:val="243"/>
        </w:trPr>
        <w:tc>
          <w:tcPr>
            <w:tcW w:w="20" w:type="dxa"/>
            <w:vAlign w:val="bottom"/>
          </w:tcPr>
          <w:p>
            <w:pPr>
              <w:spacing w:after="0"/>
              <w:rPr>
                <w:sz w:val="21"/>
                <w:szCs w:val="21"/>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FHLB stock dividends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39.80 %</w:t>
            </w:r>
          </w:p>
        </w:tc>
      </w:tr>
      <w:tr>
        <w:trPr>
          <w:trHeight w:val="243"/>
        </w:trPr>
        <w:tc>
          <w:tcPr>
            <w:tcW w:w="20" w:type="dxa"/>
            <w:vAlign w:val="bottom"/>
            <w:shd w:val="clear" w:color="auto" w:fill="CCEEFF"/>
          </w:tcPr>
          <w:p>
            <w:pPr>
              <w:spacing w:after="0"/>
              <w:rPr>
                <w:sz w:val="21"/>
                <w:szCs w:val="21"/>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on BOLI</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28.81 %</w:t>
            </w:r>
          </w:p>
        </w:tc>
      </w:tr>
      <w:tr>
        <w:trPr>
          <w:trHeight w:val="243"/>
        </w:trPr>
        <w:tc>
          <w:tcPr>
            <w:tcW w:w="20" w:type="dxa"/>
            <w:vAlign w:val="bottom"/>
            <w:tcBorders>
              <w:bottom w:val="single" w:sz="8" w:color="CCEEFF"/>
            </w:tcBorders>
          </w:tcPr>
          <w:p>
            <w:pPr>
              <w:spacing w:after="0"/>
              <w:rPr>
                <w:sz w:val="21"/>
                <w:szCs w:val="21"/>
                <w:color w:val="auto"/>
              </w:rPr>
            </w:pPr>
          </w:p>
        </w:tc>
        <w:tc>
          <w:tcPr>
            <w:tcW w:w="4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(77.61)%</w:t>
            </w: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48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Service charges on deposit accounts</w:t>
      </w:r>
      <w:r>
        <w:rPr>
          <w:rFonts w:ascii="Times New Roman" w:cs="Times New Roman" w:eastAsia="Times New Roman" w:hAnsi="Times New Roman"/>
          <w:sz w:val="18"/>
          <w:szCs w:val="18"/>
          <w:color w:val="auto"/>
        </w:rPr>
        <w:t>. The decrease related primarily to a $0.2 million decrease in net service charges assessed on analyzed deposit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sale of loans. </w:t>
      </w:r>
      <w:r>
        <w:rPr>
          <w:rFonts w:ascii="Times New Roman" w:cs="Times New Roman" w:eastAsia="Times New Roman" w:hAnsi="Times New Roman"/>
          <w:sz w:val="18"/>
          <w:szCs w:val="18"/>
          <w:color w:val="auto"/>
        </w:rPr>
        <w:t>The decrease related primarily to an overall decline in the volume of SBA loans sold due to a strategic, intentional reduction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originations of loans held for sale. During the nine months ended September 30, 2026, no SBA loans were sold, as compared to approximately $3.3 million of SBA loans sold with an effective yield of 7.41% during the nine months ended September 30, 2025.</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Loan-related fees</w:t>
      </w:r>
      <w:r>
        <w:rPr>
          <w:rFonts w:ascii="Times New Roman" w:cs="Times New Roman" w:eastAsia="Times New Roman" w:hAnsi="Times New Roman"/>
          <w:sz w:val="18"/>
          <w:szCs w:val="18"/>
          <w:color w:val="auto"/>
        </w:rPr>
        <w:t>. The increase related primarily to a $0.8 million increase in fees from swap referrals, a $0.1 million increase in credit card-related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and a $0.1 million increase in loan referral income, partially offset by a $0.2 million decrease in miscellaneous loan income from more rate lock fees and good faith deposits forfeited, during the nine months ended September 30, 2025, as compared to the nine months ended September 30, 2026.</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FHLB stock dividends</w:t>
      </w:r>
      <w:r>
        <w:rPr>
          <w:rFonts w:ascii="Times New Roman" w:cs="Times New Roman" w:eastAsia="Times New Roman" w:hAnsi="Times New Roman"/>
          <w:sz w:val="18"/>
          <w:szCs w:val="18"/>
          <w:color w:val="auto"/>
        </w:rPr>
        <w:t>. The increase related primarily to $0.7 million in special cash dividends from the FHLB during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as compared to no special cash dividends from the FHLB during the nine months ended September 30, 2025. This was partially offset by a $0.3 million decrease in regular dividends related to the FHLB’s transition to a tier-based dividend structure, which lowered the Bank’s effective dividend rate received.</w:t>
      </w:r>
    </w:p>
    <w:p>
      <w:pPr>
        <w:spacing w:after="0" w:line="18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Earnings on BOLI</w:t>
      </w:r>
      <w:r>
        <w:rPr>
          <w:rFonts w:ascii="Times New Roman" w:cs="Times New Roman" w:eastAsia="Times New Roman" w:hAnsi="Times New Roman"/>
          <w:sz w:val="18"/>
          <w:szCs w:val="18"/>
          <w:color w:val="auto"/>
        </w:rPr>
        <w:t>. The increase related primarily to an increase in BOLI balances between September 30, 2025 and September 30, 2026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of a new policy.</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The decrease related primarily to an overall decline in earnings related to equity investments in venture-backed funds during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compared to the nine months ended September 30,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Non-interest expense includes salaries and employee benefits, occupancy and equipment, data processing and software, FDIC insurance, professional services, advertising and promotional, loan-related expenses, and other operating expenses. In evaluating our level of non-interest expense, we closely monitor the Company’s efficiency ratio, which is calculated as non-interest expense divided by the sum of net interest income and non-interest income. We constantly seek to identify ways to streamline our business and operate more efficiently in order to reduce our non-interest expense over time as a percentage of our revenue, while continuing to achieve growth in total loans and assets.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 the past several years, we have continued to invest significant resources in personnel, technology, and infrastructure. As we execute initiatives based on growth, we expect non-interest expense to continue to grow. Non-interest expense has increased throughout the periods presented below; however, we expect our efficiency ratio will continue to improve going forward due, in part, to our past investment in infrastructure.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7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Three months ended September 30, 2026 compared to three months ended September 30, 2025</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53"/>
        </w:trPr>
        <w:tc>
          <w:tcPr>
            <w:tcW w:w="65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Table 9 details the components of non-interest expense for the periods indicated.</w:t>
            </w:r>
          </w:p>
        </w:tc>
        <w:tc>
          <w:tcPr>
            <w:tcW w:w="3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9: Non-interest Expense</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2180" w:type="dxa"/>
            <w:vAlign w:val="bottom"/>
            <w:tcBorders>
              <w:top w:val="single" w:sz="8" w:color="auto"/>
            </w:tcBorders>
          </w:tcPr>
          <w:p>
            <w:pPr>
              <w:spacing w:after="0"/>
              <w:rPr>
                <w:sz w:val="22"/>
                <w:szCs w:val="22"/>
                <w:color w:val="auto"/>
              </w:rPr>
            </w:pPr>
          </w:p>
        </w:tc>
        <w:tc>
          <w:tcPr>
            <w:tcW w:w="2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4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20" w:type="dxa"/>
            <w:vAlign w:val="bottom"/>
            <w:shd w:val="clear" w:color="auto" w:fill="CCEEFF"/>
          </w:tcPr>
          <w:p>
            <w:pPr>
              <w:spacing w:after="0"/>
              <w:rPr>
                <w:sz w:val="20"/>
                <w:szCs w:val="20"/>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26.99 %</w:t>
            </w:r>
          </w:p>
        </w:tc>
      </w:tr>
      <w:tr>
        <w:trPr>
          <w:trHeight w:val="243"/>
        </w:trPr>
        <w:tc>
          <w:tcPr>
            <w:tcW w:w="20" w:type="dxa"/>
            <w:vAlign w:val="bottom"/>
          </w:tcPr>
          <w:p>
            <w:pPr>
              <w:spacing w:after="0"/>
              <w:rPr>
                <w:sz w:val="21"/>
                <w:szCs w:val="21"/>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Occupancy and equipment</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33.57 %</w:t>
            </w:r>
          </w:p>
        </w:tc>
      </w:tr>
      <w:tr>
        <w:trPr>
          <w:trHeight w:val="243"/>
        </w:trPr>
        <w:tc>
          <w:tcPr>
            <w:tcW w:w="20" w:type="dxa"/>
            <w:vAlign w:val="bottom"/>
            <w:shd w:val="clear" w:color="auto" w:fill="CCEEFF"/>
          </w:tcPr>
          <w:p>
            <w:pPr>
              <w:spacing w:after="0"/>
              <w:rPr>
                <w:sz w:val="21"/>
                <w:szCs w:val="21"/>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processing and software</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11.74 %</w:t>
            </w:r>
          </w:p>
        </w:tc>
      </w:tr>
      <w:tr>
        <w:trPr>
          <w:trHeight w:val="243"/>
        </w:trPr>
        <w:tc>
          <w:tcPr>
            <w:tcW w:w="20" w:type="dxa"/>
            <w:vAlign w:val="bottom"/>
          </w:tcPr>
          <w:p>
            <w:pPr>
              <w:spacing w:after="0"/>
              <w:rPr>
                <w:sz w:val="21"/>
                <w:szCs w:val="21"/>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FDIC insurance</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34.00 %</w:t>
            </w:r>
          </w:p>
        </w:tc>
      </w:tr>
      <w:tr>
        <w:trPr>
          <w:trHeight w:val="243"/>
        </w:trPr>
        <w:tc>
          <w:tcPr>
            <w:tcW w:w="20" w:type="dxa"/>
            <w:vAlign w:val="bottom"/>
            <w:shd w:val="clear" w:color="auto" w:fill="CCEEFF"/>
          </w:tcPr>
          <w:p>
            <w:pPr>
              <w:spacing w:after="0"/>
              <w:rPr>
                <w:sz w:val="21"/>
                <w:szCs w:val="21"/>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42.70 %</w:t>
            </w:r>
          </w:p>
        </w:tc>
      </w:tr>
      <w:tr>
        <w:trPr>
          <w:trHeight w:val="243"/>
        </w:trPr>
        <w:tc>
          <w:tcPr>
            <w:tcW w:w="20" w:type="dxa"/>
            <w:vAlign w:val="bottom"/>
          </w:tcPr>
          <w:p>
            <w:pPr>
              <w:spacing w:after="0"/>
              <w:rPr>
                <w:sz w:val="21"/>
                <w:szCs w:val="21"/>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Advertising and promotional</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r>
      <w:tr>
        <w:trPr>
          <w:trHeight w:val="243"/>
        </w:trPr>
        <w:tc>
          <w:tcPr>
            <w:tcW w:w="20" w:type="dxa"/>
            <w:vAlign w:val="bottom"/>
            <w:shd w:val="clear" w:color="auto" w:fill="CCEEFF"/>
          </w:tcPr>
          <w:p>
            <w:pPr>
              <w:spacing w:after="0"/>
              <w:rPr>
                <w:sz w:val="21"/>
                <w:szCs w:val="21"/>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Loan-related expenses</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0.63 %</w:t>
            </w:r>
          </w:p>
        </w:tc>
      </w:tr>
      <w:tr>
        <w:trPr>
          <w:trHeight w:val="243"/>
        </w:trPr>
        <w:tc>
          <w:tcPr>
            <w:tcW w:w="20" w:type="dxa"/>
            <w:vAlign w:val="bottom"/>
            <w:tcBorders>
              <w:bottom w:val="single" w:sz="8" w:color="CCEEFF"/>
            </w:tcBorders>
          </w:tcPr>
          <w:p>
            <w:pPr>
              <w:spacing w:after="0"/>
              <w:rPr>
                <w:sz w:val="21"/>
                <w:szCs w:val="21"/>
                <w:color w:val="auto"/>
              </w:rPr>
            </w:pPr>
          </w:p>
        </w:tc>
        <w:tc>
          <w:tcPr>
            <w:tcW w:w="4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19.78 %</w:t>
            </w: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48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Salaries and employee benefits. </w:t>
      </w:r>
      <w:r>
        <w:rPr>
          <w:rFonts w:ascii="Times New Roman" w:cs="Times New Roman" w:eastAsia="Times New Roman" w:hAnsi="Times New Roman"/>
          <w:sz w:val="18"/>
          <w:szCs w:val="18"/>
          <w:color w:val="auto"/>
        </w:rPr>
        <w:t>The increase related primarily to: (i) a $2.5 million increase in salaries, benefits, and bonus expense, mainly related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16.29% increase in headcount between September 30, 2025 and September 30, 2026; and (ii) a $0.5 million increase in commissions primarily due to higher loan originations period-over-period. This increase was partially offset by a $0.4 million increase in deferred loan origination costs due to higher loan originations period-over-period.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Occupancy and equipment. </w:t>
      </w:r>
      <w:r>
        <w:rPr>
          <w:rFonts w:ascii="Times New Roman" w:cs="Times New Roman" w:eastAsia="Times New Roman" w:hAnsi="Times New Roman"/>
          <w:sz w:val="18"/>
          <w:szCs w:val="18"/>
          <w:color w:val="auto"/>
        </w:rPr>
        <w:t>The increase was primarily driven by expenses associated with the Lodi branch office and the Calabasas non-depository office,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both opened subsequent to the three months ended September 30, 2025. Additional increases stemmed from the Walnut Creek branch office and the Newport Beach non-depository office, which were only open for a portion of the three months ended September 30, 2025, as compared to the full three months ended September 30, 2026, and the San Francisco branch office, where an expansion project completed in the fourth quarter of 2025 resulted in elevated ongoing expenses.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Data processing and software. </w:t>
      </w:r>
      <w:r>
        <w:rPr>
          <w:rFonts w:ascii="Times New Roman" w:cs="Times New Roman" w:eastAsia="Times New Roman" w:hAnsi="Times New Roman"/>
          <w:sz w:val="18"/>
          <w:szCs w:val="18"/>
          <w:color w:val="auto"/>
        </w:rPr>
        <w:t>The increase was primarily due to: (i) increased usage of our digital banking platform; (ii) higher transaction volumes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increased number of loan and deposit accounts; (iii) an increased number of licenses required for new users on our loan origination and documentation system; and (iv) the implementation of enhanced commercial real estate lending analytics and risk assessment software.</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FDIC insurance</w:t>
      </w:r>
      <w:r>
        <w:rPr>
          <w:rFonts w:ascii="Times New Roman" w:cs="Times New Roman" w:eastAsia="Times New Roman" w:hAnsi="Times New Roman"/>
          <w:sz w:val="18"/>
          <w:szCs w:val="18"/>
          <w:color w:val="auto"/>
        </w:rPr>
        <w:t>. FDIC insurance expense is based on the FDIC assessment base, which generally reflects average consolidated total assets less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tangible equity. The increase in FDIC insurance expense was primarily due to a $960.4 million increase in the assessment base period-over-period.</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w:t>
      </w:r>
      <w:r>
        <w:rPr>
          <w:rFonts w:ascii="Times New Roman" w:cs="Times New Roman" w:eastAsia="Times New Roman" w:hAnsi="Times New Roman"/>
          <w:sz w:val="18"/>
          <w:szCs w:val="18"/>
          <w:color w:val="auto"/>
        </w:rPr>
        <w:t>The increase related primarily to: (i) a $0.2 million increase in recruiter fees associated with strategic hiring initiatives; and (ii) a $0.1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increase in legal fees incurred period-over-period related to ordinary course of business activities.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operating expenses. </w:t>
      </w:r>
      <w:r>
        <w:rPr>
          <w:rFonts w:ascii="Times New Roman" w:cs="Times New Roman" w:eastAsia="Times New Roman" w:hAnsi="Times New Roman"/>
          <w:sz w:val="18"/>
          <w:szCs w:val="18"/>
          <w:color w:val="auto"/>
        </w:rPr>
        <w:t>The increase related primarily to: (i) a $0.1 million increase in bank charges; (ii) a $0.1 million increase in reciprocal deposit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fees resulting from an overall increase in balances carried in the network; (iii) a $0.1 million increase in armored car and courier services; and (iv) a $0.1 million increase in employee-related expenses such as travel. This increase was partially offset by a $0.1 million decrease in operational losses.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75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Nine months ended September 30, 2026 compared to nine months ended September 30, 2025</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53"/>
        </w:trPr>
        <w:tc>
          <w:tcPr>
            <w:tcW w:w="65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Table 10 details the components of non-interest expense for the periods indicated.</w:t>
            </w:r>
          </w:p>
        </w:tc>
        <w:tc>
          <w:tcPr>
            <w:tcW w:w="18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10: Non-interest Expense</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2280" w:type="dxa"/>
            <w:vAlign w:val="bottom"/>
            <w:tcBorders>
              <w:top w:val="single" w:sz="8" w:color="auto"/>
            </w:tcBorders>
          </w:tcPr>
          <w:p>
            <w:pPr>
              <w:spacing w:after="0"/>
              <w:rPr>
                <w:sz w:val="22"/>
                <w:szCs w:val="22"/>
                <w:color w:val="auto"/>
              </w:rPr>
            </w:pPr>
          </w:p>
        </w:tc>
        <w:tc>
          <w:tcPr>
            <w:tcW w:w="2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5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4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7"/>
        </w:trPr>
        <w:tc>
          <w:tcPr>
            <w:tcW w:w="20" w:type="dxa"/>
            <w:vAlign w:val="bottom"/>
            <w:shd w:val="clear" w:color="auto" w:fill="CCEEFF"/>
          </w:tcPr>
          <w:p>
            <w:pPr>
              <w:spacing w:after="0"/>
              <w:rPr>
                <w:sz w:val="20"/>
                <w:szCs w:val="20"/>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27,760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26.76 %</w:t>
            </w:r>
          </w:p>
        </w:tc>
      </w:tr>
      <w:tr>
        <w:trPr>
          <w:trHeight w:val="243"/>
        </w:trPr>
        <w:tc>
          <w:tcPr>
            <w:tcW w:w="20" w:type="dxa"/>
            <w:vAlign w:val="bottom"/>
          </w:tcPr>
          <w:p>
            <w:pPr>
              <w:spacing w:after="0"/>
              <w:rPr>
                <w:sz w:val="21"/>
                <w:szCs w:val="21"/>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Occupancy and equipment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32.25 %</w:t>
            </w:r>
          </w:p>
        </w:tc>
      </w:tr>
      <w:tr>
        <w:trPr>
          <w:trHeight w:val="243"/>
        </w:trPr>
        <w:tc>
          <w:tcPr>
            <w:tcW w:w="20" w:type="dxa"/>
            <w:vAlign w:val="bottom"/>
            <w:shd w:val="clear" w:color="auto" w:fill="CCEEFF"/>
          </w:tcPr>
          <w:p>
            <w:pPr>
              <w:spacing w:after="0"/>
              <w:rPr>
                <w:sz w:val="21"/>
                <w:szCs w:val="21"/>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processing and software</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10.57 %</w:t>
            </w:r>
          </w:p>
        </w:tc>
      </w:tr>
      <w:tr>
        <w:trPr>
          <w:trHeight w:val="243"/>
        </w:trPr>
        <w:tc>
          <w:tcPr>
            <w:tcW w:w="20" w:type="dxa"/>
            <w:vAlign w:val="bottom"/>
          </w:tcPr>
          <w:p>
            <w:pPr>
              <w:spacing w:after="0"/>
              <w:rPr>
                <w:sz w:val="21"/>
                <w:szCs w:val="21"/>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FDIC insurance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26.32 %</w:t>
            </w:r>
          </w:p>
        </w:tc>
      </w:tr>
      <w:tr>
        <w:trPr>
          <w:trHeight w:val="243"/>
        </w:trPr>
        <w:tc>
          <w:tcPr>
            <w:tcW w:w="20" w:type="dxa"/>
            <w:vAlign w:val="bottom"/>
            <w:shd w:val="clear" w:color="auto" w:fill="CCEEFF"/>
          </w:tcPr>
          <w:p>
            <w:pPr>
              <w:spacing w:after="0"/>
              <w:rPr>
                <w:sz w:val="21"/>
                <w:szCs w:val="21"/>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16.11 %</w:t>
            </w:r>
          </w:p>
        </w:tc>
      </w:tr>
      <w:tr>
        <w:trPr>
          <w:trHeight w:val="243"/>
        </w:trPr>
        <w:tc>
          <w:tcPr>
            <w:tcW w:w="20" w:type="dxa"/>
            <w:vAlign w:val="bottom"/>
          </w:tcPr>
          <w:p>
            <w:pPr>
              <w:spacing w:after="0"/>
              <w:rPr>
                <w:sz w:val="21"/>
                <w:szCs w:val="21"/>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Advertising and promotional</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14.20 %</w:t>
            </w:r>
          </w:p>
        </w:tc>
      </w:tr>
      <w:tr>
        <w:trPr>
          <w:trHeight w:val="243"/>
        </w:trPr>
        <w:tc>
          <w:tcPr>
            <w:tcW w:w="20" w:type="dxa"/>
            <w:vAlign w:val="bottom"/>
            <w:shd w:val="clear" w:color="auto" w:fill="CCEEFF"/>
          </w:tcPr>
          <w:p>
            <w:pPr>
              <w:spacing w:after="0"/>
              <w:rPr>
                <w:sz w:val="21"/>
                <w:szCs w:val="21"/>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Loan-related expenses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r>
      <w:tr>
        <w:trPr>
          <w:trHeight w:val="243"/>
        </w:trPr>
        <w:tc>
          <w:tcPr>
            <w:tcW w:w="20" w:type="dxa"/>
            <w:vAlign w:val="bottom"/>
            <w:tcBorders>
              <w:bottom w:val="single" w:sz="8" w:color="CCEEFF"/>
            </w:tcBorders>
          </w:tcPr>
          <w:p>
            <w:pPr>
              <w:spacing w:after="0"/>
              <w:rPr>
                <w:sz w:val="21"/>
                <w:szCs w:val="21"/>
                <w:color w:val="auto"/>
              </w:rPr>
            </w:pPr>
          </w:p>
        </w:tc>
        <w:tc>
          <w:tcPr>
            <w:tcW w:w="48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13.45 %</w:t>
            </w: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48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47,351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Salaries and employee benefits. </w:t>
      </w:r>
      <w:r>
        <w:rPr>
          <w:rFonts w:ascii="Times New Roman" w:cs="Times New Roman" w:eastAsia="Times New Roman" w:hAnsi="Times New Roman"/>
          <w:sz w:val="18"/>
          <w:szCs w:val="18"/>
          <w:color w:val="auto"/>
        </w:rPr>
        <w:t>The increase was primarily a result of: (i) a $7.6 million increase in salaries, benefits, and bonus expense, mainly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16.29% increase in headcount between September 30, 2025 and September 30, 2026; and (ii) a $1.7 million increase in commissions primarily due to higher loan originations period-over-period. This increase was partially offset by a $1.8 million increase in deferred loan origination costs due to higher loan originations period-over-period.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Occupancy and equipment. </w:t>
      </w:r>
      <w:r>
        <w:rPr>
          <w:rFonts w:ascii="Times New Roman" w:cs="Times New Roman" w:eastAsia="Times New Roman" w:hAnsi="Times New Roman"/>
          <w:sz w:val="18"/>
          <w:szCs w:val="18"/>
          <w:color w:val="auto"/>
        </w:rPr>
        <w:t>The increase was primarily due to expenses for the Lodi branch office and the Calabasas non-depository office, both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opened subsequent to the nine months ended September 30, 2025. Additional increases stemmed from the Walnut Creek branch office and the Newport Beach non-depository office, which were only open for a portion of the prior-year period, and the San Francisco branch office, where an expansion project completed in the fourth quarter of 2025 has resulted in elevated ongoing expenses.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Data processing and software. </w:t>
      </w:r>
      <w:r>
        <w:rPr>
          <w:rFonts w:ascii="Times New Roman" w:cs="Times New Roman" w:eastAsia="Times New Roman" w:hAnsi="Times New Roman"/>
          <w:sz w:val="18"/>
          <w:szCs w:val="18"/>
          <w:color w:val="auto"/>
        </w:rPr>
        <w:t>The increase was primarily due to: (i) increased usage of our digital banking platform; (ii) higher transaction volumes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increased number of loan and deposit accounts; (iii) an increased number of licenses required for new users on our loan origination and documentation system; and (iv) the implementation of enhanced commercial real estate lending analytics and risk assessment software.</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FDIC insurance. </w:t>
      </w:r>
      <w:r>
        <w:rPr>
          <w:rFonts w:ascii="Times New Roman" w:cs="Times New Roman" w:eastAsia="Times New Roman" w:hAnsi="Times New Roman"/>
          <w:sz w:val="18"/>
          <w:szCs w:val="18"/>
          <w:color w:val="auto"/>
        </w:rPr>
        <w:t>FDIC insurance expense is based on the FDIC assessment base, which generally reflects average consolidated total assets less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tangible equity. The increase in FDIC insurance expense was primarily due to a $960.4 million increase in the assessment base period-over-period.</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w:t>
      </w:r>
      <w:r>
        <w:rPr>
          <w:rFonts w:ascii="Times New Roman" w:cs="Times New Roman" w:eastAsia="Times New Roman" w:hAnsi="Times New Roman"/>
          <w:sz w:val="18"/>
          <w:szCs w:val="18"/>
          <w:color w:val="auto"/>
        </w:rPr>
        <w:t>The increase was primarily due to: (i) a $0.2 million increase in legal fees incurred in the ordinary course of business; (ii) a $0.2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increase in recruiter fees associated with strategic hiring initiatives; and (iii) a $0.1 million increase in audit fees. This increase was partially offset by a $0.1 million decrease in compensation consulting services.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Advertising and promotional. </w:t>
      </w:r>
      <w:r>
        <w:rPr>
          <w:rFonts w:ascii="Times New Roman" w:cs="Times New Roman" w:eastAsia="Times New Roman" w:hAnsi="Times New Roman"/>
          <w:sz w:val="18"/>
          <w:szCs w:val="18"/>
          <w:color w:val="auto"/>
        </w:rPr>
        <w:t>The increase was primarily due to additional expenses incurred to support the expansion of the Bank’s business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teams, including a $0.3 million increase related to business development expenses and a $0.1 million increase related to advertising and marketing expenses. This increase was partially offset by a $0.1 million decrease in event expenses for one-time events during the nine months ended September 30, 2026 that did not occur during the nine months ended September 30,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Loan-related expenses</w:t>
      </w:r>
      <w:r>
        <w:rPr>
          <w:rFonts w:ascii="Times New Roman" w:cs="Times New Roman" w:eastAsia="Times New Roman" w:hAnsi="Times New Roman"/>
          <w:sz w:val="18"/>
          <w:szCs w:val="18"/>
          <w:color w:val="auto"/>
        </w:rPr>
        <w:t>. The decrease was primarily related to a $0.1 million decrease in loan legal fees and a $0.1 million decrease in credit report costs.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operating expenses. </w:t>
      </w:r>
      <w:r>
        <w:rPr>
          <w:rFonts w:ascii="Times New Roman" w:cs="Times New Roman" w:eastAsia="Times New Roman" w:hAnsi="Times New Roman"/>
          <w:sz w:val="18"/>
          <w:szCs w:val="18"/>
          <w:color w:val="auto"/>
        </w:rPr>
        <w:t>The increase was primarily due to: (i) a $0.5 million increase in employee travel expenses; (ii) a $0.4 million increase in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charges; (iii) a $0.3 million increase in reciprocal deposit network fees resulting from an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3" w:name="page54"/>
    <w:bookmarkEnd w:id="53"/>
    <w:p>
      <w:pPr>
        <w:jc w:val="both"/>
        <w:spacing w:after="0" w:line="266" w:lineRule="auto"/>
        <w:rPr>
          <w:sz w:val="20"/>
          <w:szCs w:val="20"/>
          <w:color w:val="auto"/>
        </w:rPr>
      </w:pPr>
      <w:r>
        <w:rPr>
          <w:rFonts w:ascii="Times New Roman" w:cs="Times New Roman" w:eastAsia="Times New Roman" w:hAnsi="Times New Roman"/>
          <w:sz w:val="18"/>
          <w:szCs w:val="18"/>
          <w:color w:val="auto"/>
        </w:rPr>
        <w:t>overall increase in balances carried in the network; (iv) a $0.2 million increase in armored car and courier services; and (v) a $0.1 million increase in operational losses. The increase was partially offset by the release of a $1.0 million loss contingency on an SBA loan during the nine months ended September 30, 2026. No such release occurred during the nine months ended September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months ended September 30, 2026 compared to three months ended September 30, 2025</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 for income taxes was $7.6 million for the three months ended September 30, 2026, a $1.7 million increase from the three months ended September 30, 2025. This increase was primarily driven by an increase in taxable income, partially offset by a $0.2 million benefit recorded during the three months ended September 30, 2026 related to the purchase of transferable tax credits that did not occur during the three months ended September 30, 2025. The effective tax rates were 25.81% and 26.49% for the three months ended September 30, 2026 and September 30, 2025,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Nine months ended September 30, 2026 compared to nine months ended September 30, 2025</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provision for income taxes was $20.7 million for the nine months ended September 30, 2026, as compared to $16.8 million for the nine months ended September 30, 2025. The increase was primarily due to an overall increase in taxable income period-over-period, as well as a net $0.2 million reduction to the provision recorded during the six months ended June 30, 2025. This adjustment related to a tax law change for the state of California effective as of June 30, 2025, which required a transition from a three-factor apportionment formula to a single-sales-factor formula for determining state income tax. As such, the Company recorded a net benefit of approximately $0.9 million relating to the current year provision, which was partially offset by a $0.7 million expense relating to the remeasurement of the deferred tax assets and liabilities as of June 30, 2025. No such adjustment was recorded during the nine months ended September 30, 2026. This increase was partially offset by a $0.7 million benefit recorded during the nine months ended September 30, 2026 related to the purchase of transferable tax credits that did not occur during the nine months ended September 30, 2025. The effective tax rates for the nine months ended September 30, 2026 and 2025 were 25.69% and 27.60%,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SUMMARY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compares our financial condition as of September 30, 2026 to our financial condition as of December 31, 2025. Table 11 summarizes selected components of our unaudited consolidated balance sheets as of September 30, 2026 and December 31, 2025.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11: Selected Components of Consolidated Balance Sheets (Unaudited)</w:t>
            </w: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80"/>
        </w:trPr>
        <w:tc>
          <w:tcPr>
            <w:tcW w:w="20" w:type="dxa"/>
            <w:vAlign w:val="bottom"/>
            <w:tcBorders>
              <w:bottom w:val="single" w:sz="8" w:color="auto"/>
            </w:tcBorders>
          </w:tcPr>
          <w:p>
            <w:pPr>
              <w:spacing w:after="0"/>
              <w:rPr>
                <w:sz w:val="24"/>
                <w:szCs w:val="24"/>
                <w:color w:val="auto"/>
              </w:rPr>
            </w:pPr>
          </w:p>
        </w:tc>
        <w:tc>
          <w:tcPr>
            <w:tcW w:w="5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36"/>
        </w:trPr>
        <w:tc>
          <w:tcPr>
            <w:tcW w:w="20" w:type="dxa"/>
            <w:vAlign w:val="bottom"/>
            <w:shd w:val="clear" w:color="auto" w:fill="CCEEFF"/>
          </w:tcPr>
          <w:p>
            <w:pPr>
              <w:spacing w:after="0"/>
              <w:rPr>
                <w:sz w:val="20"/>
                <w:szCs w:val="20"/>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5,559,618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4,754,861</w:t>
            </w:r>
          </w:p>
        </w:tc>
      </w:tr>
      <w:tr>
        <w:trPr>
          <w:trHeight w:val="243"/>
        </w:trPr>
        <w:tc>
          <w:tcPr>
            <w:tcW w:w="20" w:type="dxa"/>
            <w:vAlign w:val="bottom"/>
          </w:tcPr>
          <w:p>
            <w:pPr>
              <w:spacing w:after="0"/>
              <w:rPr>
                <w:sz w:val="21"/>
                <w:szCs w:val="21"/>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506,851</w:t>
            </w:r>
          </w:p>
        </w:tc>
      </w:tr>
      <w:tr>
        <w:trPr>
          <w:trHeight w:val="243"/>
        </w:trPr>
        <w:tc>
          <w:tcPr>
            <w:tcW w:w="20" w:type="dxa"/>
            <w:vAlign w:val="bottom"/>
            <w:shd w:val="clear" w:color="auto" w:fill="CCEEFF"/>
          </w:tcPr>
          <w:p>
            <w:pPr>
              <w:spacing w:after="0"/>
              <w:rPr>
                <w:sz w:val="21"/>
                <w:szCs w:val="21"/>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96,889</w:t>
            </w:r>
          </w:p>
        </w:tc>
      </w:tr>
      <w:tr>
        <w:trPr>
          <w:trHeight w:val="243"/>
        </w:trPr>
        <w:tc>
          <w:tcPr>
            <w:tcW w:w="20" w:type="dxa"/>
            <w:vAlign w:val="bottom"/>
          </w:tcPr>
          <w:p>
            <w:pPr>
              <w:spacing w:after="0"/>
              <w:rPr>
                <w:sz w:val="21"/>
                <w:szCs w:val="21"/>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4,704,215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4,074,929</w:t>
            </w:r>
          </w:p>
        </w:tc>
      </w:tr>
      <w:tr>
        <w:trPr>
          <w:trHeight w:val="243"/>
        </w:trPr>
        <w:tc>
          <w:tcPr>
            <w:tcW w:w="20" w:type="dxa"/>
            <w:vAlign w:val="bottom"/>
            <w:shd w:val="clear" w:color="auto" w:fill="CCEEFF"/>
          </w:tcPr>
          <w:p>
            <w:pPr>
              <w:spacing w:after="0"/>
              <w:rPr>
                <w:sz w:val="21"/>
                <w:szCs w:val="21"/>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4,824,528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4,201,084</w:t>
            </w:r>
          </w:p>
        </w:tc>
      </w:tr>
      <w:tr>
        <w:trPr>
          <w:trHeight w:val="243"/>
        </w:trPr>
        <w:tc>
          <w:tcPr>
            <w:tcW w:w="20" w:type="dxa"/>
            <w:vAlign w:val="bottom"/>
          </w:tcPr>
          <w:p>
            <w:pPr>
              <w:spacing w:after="0"/>
              <w:rPr>
                <w:sz w:val="21"/>
                <w:szCs w:val="21"/>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Subordinated notes, net</w:t>
            </w: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74,041</w:t>
            </w:r>
          </w:p>
        </w:tc>
      </w:tr>
      <w:tr>
        <w:trPr>
          <w:trHeight w:val="243"/>
        </w:trPr>
        <w:tc>
          <w:tcPr>
            <w:tcW w:w="20" w:type="dxa"/>
            <w:vAlign w:val="bottom"/>
            <w:shd w:val="clear" w:color="auto" w:fill="CCEEFF"/>
          </w:tcPr>
          <w:p>
            <w:pPr>
              <w:spacing w:after="0"/>
              <w:rPr>
                <w:sz w:val="21"/>
                <w:szCs w:val="21"/>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617,211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445,832</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2026, total assets were $5.6 billion, an increase of $804.8 million from $4.8 billion at December 31, 2025. The increase was primarily comprised of a $629.3 million increase in total loans held for investment and a $172.6 million increase in cash and cash equivalents. The $629.3 million increase in total loans held for investment between December 31, 2025 and September 30, 2026 was a result of $1.6 billion in loan originations and advances, partially offset by $304.5 million and $633.2 million in loan payoffs and paydowns, respectively. The $629.3 million increase in total loans held for investment included $230.7 million in purchased loans within the consumer section of the loan portfolio.</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cash and cash equivalents were $679.5 million at September 30, 2026, an increase of $172.6 million from $506.9 million at December 31, 2025. The increase in cash and cash equivalents primarily resulted from $130.0 million in net proceeds from the underwritten public offering (after deducting underwriting discounts and commissions of $7.3 million, and offering expenses of approximately $0.6 million), $59.9 million in net income, and $623.4 million in deposit growth, partially offset by $629.3 million in cash outflows to fund growth in total loans held for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investment portfolio is primarily comprised of U.S. government agency securities, mortgage-backed securities, and obligations of states and political subdivisions, which are high-quality liquid investments. We manage our investment portfolio according to written investment policies approved by our board of directors. Our investment strategy is designed to maximize earnings while maintaining liquidity in securities with minimal credit risk and interest rate risk that is reflective of the yields obtained on those securities. Most of our securities are classified as available-for-sale, although we have one long-term, fixed rate municipal security classified as held-to-maturity.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total securities available-for-sale and held-to-maturity amounted to $84.2 million at September 30, 2026 and $96.9 million at December 31, 2025, representing a decrease of $12.7 million during the same period. The decrease to available-for-sale securities was primarily due to maturities, prepayments, and calls of $7.9 million, and an unrealized loss on securities of $4.3 million, with the remainder of the change due to amortization of premiums. For the nine months ended September 30, 2026, other comprehensive loss was $3.2 million, primarily due to market conditions on securities during that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12 presents the carrying value of our investment portfolio as of the dates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12: Carrying Value of Investment Securities</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63"/>
        </w:trPr>
        <w:tc>
          <w:tcPr>
            <w:tcW w:w="20" w:type="dxa"/>
            <w:vAlign w:val="bottom"/>
          </w:tcPr>
          <w:p>
            <w:pPr>
              <w:spacing w:after="0"/>
              <w:rPr>
                <w:sz w:val="22"/>
                <w:szCs w:val="22"/>
                <w:color w:val="auto"/>
              </w:rPr>
            </w:pPr>
          </w:p>
        </w:tc>
        <w:tc>
          <w:tcPr>
            <w:tcW w:w="3620" w:type="dxa"/>
            <w:vAlign w:val="bottom"/>
            <w:tcBorders>
              <w:top w:val="single" w:sz="8" w:color="auto"/>
            </w:tcBorders>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180" w:type="dxa"/>
            <w:vAlign w:val="bottom"/>
            <w:tcBorders>
              <w:bottom w:val="single" w:sz="8" w:color="auto"/>
            </w:tcBorders>
            <w:gridSpan w:val="5"/>
          </w:tcPr>
          <w:p>
            <w:pPr>
              <w:ind w:left="14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580" w:type="dxa"/>
            <w:vAlign w:val="bottom"/>
            <w:tcBorders>
              <w:bottom w:val="single" w:sz="8" w:color="auto"/>
            </w:tcBorders>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37"/>
        </w:trPr>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Carrying Value</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Carrying Value</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36"/>
        </w:trPr>
        <w:tc>
          <w:tcPr>
            <w:tcW w:w="20" w:type="dxa"/>
            <w:vAlign w:val="bottom"/>
            <w:shd w:val="clear" w:color="auto" w:fill="CCEEFF"/>
          </w:tcPr>
          <w:p>
            <w:pPr>
              <w:spacing w:after="0"/>
              <w:rPr>
                <w:sz w:val="20"/>
                <w:szCs w:val="20"/>
                <w:color w:val="auto"/>
              </w:rPr>
            </w:pPr>
          </w:p>
        </w:tc>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(at fair value):</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9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00" w:type="dxa"/>
            <w:vAlign w:val="bottom"/>
          </w:tcPr>
          <w:p>
            <w:pPr>
              <w:spacing w:after="0"/>
              <w:rPr>
                <w:sz w:val="21"/>
                <w:szCs w:val="21"/>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6.84 %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7.60 %</w:t>
            </w:r>
          </w:p>
        </w:tc>
      </w:tr>
      <w:tr>
        <w:trPr>
          <w:trHeight w:val="243"/>
        </w:trPr>
        <w:tc>
          <w:tcPr>
            <w:tcW w:w="20" w:type="dxa"/>
            <w:vAlign w:val="bottom"/>
            <w:shd w:val="clear" w:color="auto" w:fill="CCEEFF"/>
          </w:tcPr>
          <w:p>
            <w:pPr>
              <w:spacing w:after="0"/>
              <w:rPr>
                <w:sz w:val="21"/>
                <w:szCs w:val="21"/>
                <w:color w:val="auto"/>
              </w:rPr>
            </w:pPr>
          </w:p>
        </w:tc>
        <w:tc>
          <w:tcPr>
            <w:tcW w:w="49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42,451</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50.45 %</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48,186</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49.73 %</w:t>
            </w:r>
          </w:p>
        </w:tc>
      </w:tr>
      <w:tr>
        <w:trPr>
          <w:trHeight w:val="243"/>
        </w:trPr>
        <w:tc>
          <w:tcPr>
            <w:tcW w:w="20" w:type="dxa"/>
            <w:vAlign w:val="bottom"/>
          </w:tcPr>
          <w:p>
            <w:pPr>
              <w:spacing w:after="0"/>
              <w:rPr>
                <w:sz w:val="21"/>
                <w:szCs w:val="21"/>
                <w:color w:val="auto"/>
              </w:rPr>
            </w:pPr>
          </w:p>
        </w:tc>
        <w:tc>
          <w:tcPr>
            <w:tcW w:w="49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38.15 %</w:t>
            </w:r>
          </w:p>
        </w:tc>
      </w:tr>
      <w:tr>
        <w:trPr>
          <w:trHeight w:val="243"/>
        </w:trPr>
        <w:tc>
          <w:tcPr>
            <w:tcW w:w="20" w:type="dxa"/>
            <w:vAlign w:val="bottom"/>
            <w:shd w:val="clear" w:color="auto" w:fill="CCEEFF"/>
          </w:tcPr>
          <w:p>
            <w:pPr>
              <w:spacing w:after="0"/>
              <w:rPr>
                <w:sz w:val="21"/>
                <w:szCs w:val="21"/>
                <w:color w:val="auto"/>
              </w:rPr>
            </w:pPr>
          </w:p>
        </w:tc>
        <w:tc>
          <w:tcPr>
            <w:tcW w:w="49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0.22 %</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0.24 %</w:t>
            </w:r>
          </w:p>
        </w:tc>
      </w:tr>
      <w:tr>
        <w:trPr>
          <w:trHeight w:val="243"/>
        </w:trPr>
        <w:tc>
          <w:tcPr>
            <w:tcW w:w="20" w:type="dxa"/>
            <w:vAlign w:val="bottom"/>
          </w:tcPr>
          <w:p>
            <w:pPr>
              <w:spacing w:after="0"/>
              <w:rPr>
                <w:sz w:val="21"/>
                <w:szCs w:val="21"/>
                <w:color w:val="auto"/>
              </w:rPr>
            </w:pPr>
          </w:p>
        </w:tc>
        <w:tc>
          <w:tcPr>
            <w:tcW w:w="49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2.02 %</w:t>
            </w:r>
          </w:p>
        </w:tc>
      </w:tr>
      <w:tr>
        <w:trPr>
          <w:trHeight w:val="237"/>
        </w:trPr>
        <w:tc>
          <w:tcPr>
            <w:tcW w:w="20" w:type="dxa"/>
            <w:vAlign w:val="bottom"/>
            <w:tcBorders>
              <w:top w:val="single" w:sz="8" w:color="CCEEFF"/>
            </w:tcBorders>
            <w:shd w:val="clear" w:color="auto" w:fill="CCEEFF"/>
          </w:tcPr>
          <w:p>
            <w:pPr>
              <w:spacing w:after="0"/>
              <w:rPr>
                <w:sz w:val="20"/>
                <w:szCs w:val="20"/>
                <w:color w:val="auto"/>
              </w:rPr>
            </w:pPr>
          </w:p>
        </w:tc>
        <w:tc>
          <w:tcPr>
            <w:tcW w:w="4920" w:type="dxa"/>
            <w:vAlign w:val="bottom"/>
            <w:tcBorders>
              <w:top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available-for-sale</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82,228</w:t>
            </w:r>
          </w:p>
        </w:tc>
        <w:tc>
          <w:tcPr>
            <w:tcW w:w="10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97.71 %</w:t>
            </w: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94,699</w:t>
            </w:r>
          </w:p>
        </w:tc>
        <w:tc>
          <w:tcPr>
            <w:tcW w:w="10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Held-to-maturity (at amortized cost):</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2.26 %</w:t>
            </w:r>
          </w:p>
        </w:tc>
      </w:tr>
      <w:tr>
        <w:trPr>
          <w:trHeight w:val="261"/>
        </w:trPr>
        <w:tc>
          <w:tcPr>
            <w:tcW w:w="49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84,158</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96,889</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879"/>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5" w:name="page56"/>
    <w:bookmarkEnd w:id="55"/>
    <w:p>
      <w:pPr>
        <w:spacing w:after="0" w:line="282" w:lineRule="auto"/>
        <w:rPr>
          <w:sz w:val="20"/>
          <w:szCs w:val="20"/>
          <w:color w:val="auto"/>
        </w:rPr>
      </w:pPr>
      <w:r>
        <w:rPr>
          <w:rFonts w:ascii="Times New Roman" w:cs="Times New Roman" w:eastAsia="Times New Roman" w:hAnsi="Times New Roman"/>
          <w:sz w:val="18"/>
          <w:szCs w:val="18"/>
          <w:color w:val="auto"/>
        </w:rPr>
        <w:t>Table 13 presents the carrying value of our securities by their stated maturities, as well as the weighted average yields for each maturity range, as of the dates shown.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Table 13: Stated Maturities and Weighted Average Yields - Investment Securities</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6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Due in one year or less</w:t>
            </w:r>
          </w:p>
        </w:tc>
        <w:tc>
          <w:tcPr>
            <w:tcW w:w="80" w:type="dxa"/>
            <w:vAlign w:val="bottom"/>
            <w:vMerge w:val="restart"/>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Due after one year</w:t>
            </w:r>
          </w:p>
        </w:tc>
        <w:tc>
          <w:tcPr>
            <w:tcW w:w="120" w:type="dxa"/>
            <w:vAlign w:val="bottom"/>
          </w:tcPr>
          <w:p>
            <w:pPr>
              <w:spacing w:after="0"/>
              <w:rPr>
                <w:sz w:val="19"/>
                <w:szCs w:val="19"/>
                <w:color w:val="auto"/>
              </w:rPr>
            </w:pPr>
          </w:p>
        </w:tc>
        <w:tc>
          <w:tcPr>
            <w:tcW w:w="17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Due after five years</w:t>
            </w:r>
          </w:p>
        </w:tc>
        <w:tc>
          <w:tcPr>
            <w:tcW w:w="140" w:type="dxa"/>
            <w:vAlign w:val="bottom"/>
          </w:tcPr>
          <w:p>
            <w:pPr>
              <w:spacing w:after="0"/>
              <w:rPr>
                <w:sz w:val="19"/>
                <w:szCs w:val="19"/>
                <w:color w:val="auto"/>
              </w:rPr>
            </w:pPr>
          </w:p>
        </w:tc>
        <w:tc>
          <w:tcPr>
            <w:tcW w:w="1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Due after ten years</w:t>
            </w:r>
          </w:p>
        </w:tc>
        <w:tc>
          <w:tcPr>
            <w:tcW w:w="100" w:type="dxa"/>
            <w:vAlign w:val="bottom"/>
            <w:vMerge w:val="restart"/>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3"/>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Borders>
              <w:bottom w:val="single" w:sz="8" w:color="auto"/>
            </w:tcBorders>
            <w:gridSpan w:val="4"/>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through five years</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through ten years</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Pr>
          <w:p>
            <w:pPr>
              <w:spacing w:after="0"/>
              <w:rPr>
                <w:sz w:val="15"/>
                <w:szCs w:val="15"/>
                <w:color w:val="auto"/>
              </w:rPr>
            </w:pPr>
          </w:p>
        </w:tc>
        <w:tc>
          <w:tcPr>
            <w:tcW w:w="102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Pr>
          <w:p>
            <w:pPr>
              <w:spacing w:after="0"/>
              <w:rPr>
                <w:sz w:val="15"/>
                <w:szCs w:val="15"/>
                <w:color w:val="auto"/>
              </w:rPr>
            </w:pPr>
          </w:p>
        </w:tc>
        <w:tc>
          <w:tcPr>
            <w:tcW w:w="104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Pr>
          <w:p>
            <w:pPr>
              <w:spacing w:after="0"/>
              <w:rPr>
                <w:sz w:val="15"/>
                <w:szCs w:val="15"/>
                <w:color w:val="auto"/>
              </w:rPr>
            </w:pPr>
          </w:p>
        </w:tc>
        <w:tc>
          <w:tcPr>
            <w:tcW w:w="102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Pr>
          <w:p>
            <w:pPr>
              <w:spacing w:after="0"/>
              <w:rPr>
                <w:sz w:val="15"/>
                <w:szCs w:val="15"/>
                <w:color w:val="auto"/>
              </w:rPr>
            </w:pPr>
          </w:p>
        </w:tc>
        <w:tc>
          <w:tcPr>
            <w:tcW w:w="104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vMerge w:val="restart"/>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7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473"/>
        </w:trPr>
        <w:tc>
          <w:tcPr>
            <w:tcW w:w="2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government</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agency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Mortgage-backed</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6.84 %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9,245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42,451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and political</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Collateralized</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20" w:type="dxa"/>
            <w:vAlign w:val="bottom"/>
            <w:gridSpan w:val="2"/>
          </w:tcPr>
          <w:p>
            <w:pPr>
              <w:ind w:left="340"/>
              <w:spacing w:after="0" w:line="202" w:lineRule="exact"/>
              <w:rPr>
                <w:sz w:val="20"/>
                <w:szCs w:val="20"/>
                <w:color w:val="auto"/>
              </w:rPr>
            </w:pPr>
            <w:r>
              <w:rPr>
                <w:rFonts w:ascii="Times New Roman" w:cs="Times New Roman" w:eastAsia="Times New Roman" w:hAnsi="Times New Roman"/>
                <w:sz w:val="18"/>
                <w:szCs w:val="18"/>
                <w:color w:val="auto"/>
              </w:rPr>
              <w:t>mortgage</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tcPr>
          <w:p>
            <w:pPr>
              <w:spacing w:after="0"/>
              <w:rPr>
                <w:sz w:val="22"/>
                <w:szCs w:val="22"/>
                <w:color w:val="auto"/>
              </w:rPr>
            </w:pPr>
          </w:p>
        </w:tc>
        <w:tc>
          <w:tcPr>
            <w:tcW w:w="18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obligations</w:t>
            </w: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available-for-</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Held-to-maturity:</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and political</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Pr>
          <w:p>
            <w:pPr>
              <w:spacing w:after="0"/>
              <w:rPr>
                <w:sz w:val="23"/>
                <w:szCs w:val="23"/>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26,184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80" w:type="dxa"/>
            <w:vAlign w:val="bottom"/>
          </w:tcPr>
          <w:p>
            <w:pPr>
              <w:spacing w:after="0"/>
              <w:rPr>
                <w:sz w:val="23"/>
                <w:szCs w:val="23"/>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54,446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84,158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20" w:type="dxa"/>
            <w:vAlign w:val="bottom"/>
            <w:gridSpan w:val="2"/>
          </w:tcPr>
          <w:p>
            <w:pPr>
              <w:ind w:left="160"/>
              <w:spacing w:after="0" w:line="189" w:lineRule="exact"/>
              <w:rPr>
                <w:sz w:val="20"/>
                <w:szCs w:val="20"/>
                <w:color w:val="auto"/>
              </w:rPr>
            </w:pPr>
            <w:r>
              <w:rPr>
                <w:rFonts w:ascii="Times New Roman" w:cs="Times New Roman" w:eastAsia="Times New Roman" w:hAnsi="Times New Roman"/>
                <w:sz w:val="18"/>
                <w:szCs w:val="18"/>
                <w:color w:val="auto"/>
              </w:rPr>
              <w:t>U.S. government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 w:type="dxa"/>
            <w:vAlign w:val="bottom"/>
          </w:tcPr>
          <w:p>
            <w:pPr>
              <w:spacing w:after="0"/>
              <w:rPr>
                <w:sz w:val="16"/>
                <w:szCs w:val="16"/>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5.27 %</w:t>
            </w:r>
          </w:p>
        </w:tc>
        <w:tc>
          <w:tcPr>
            <w:tcW w:w="100" w:type="dxa"/>
            <w:vAlign w:val="bottom"/>
          </w:tcPr>
          <w:p>
            <w:pPr>
              <w:spacing w:after="0"/>
              <w:rPr>
                <w:sz w:val="16"/>
                <w:szCs w:val="16"/>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80" w:type="dxa"/>
            <w:vAlign w:val="bottom"/>
          </w:tcPr>
          <w:p>
            <w:pPr>
              <w:spacing w:after="0"/>
              <w:rPr>
                <w:sz w:val="16"/>
                <w:szCs w:val="16"/>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6,246</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5.58 %</w:t>
            </w:r>
          </w:p>
        </w:tc>
        <w:tc>
          <w:tcPr>
            <w:tcW w:w="100" w:type="dxa"/>
            <w:vAlign w:val="bottom"/>
          </w:tcPr>
          <w:p>
            <w:pPr>
              <w:spacing w:after="0"/>
              <w:rPr>
                <w:sz w:val="16"/>
                <w:szCs w:val="16"/>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5.31 %</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agency securities</w:t>
            </w:r>
          </w:p>
        </w:tc>
        <w:tc>
          <w:tcPr>
            <w:tcW w:w="16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Mortgage-backed</w:t>
            </w:r>
          </w:p>
        </w:tc>
        <w:tc>
          <w:tcPr>
            <w:tcW w:w="16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43,509</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48,186</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20" w:type="dxa"/>
            <w:vAlign w:val="bottom"/>
            <w:gridSpan w:val="2"/>
          </w:tcPr>
          <w:p>
            <w:pPr>
              <w:ind w:left="160"/>
              <w:spacing w:after="0" w:line="189" w:lineRule="exact"/>
              <w:rPr>
                <w:sz w:val="20"/>
                <w:szCs w:val="20"/>
                <w:color w:val="auto"/>
              </w:rPr>
            </w:pPr>
            <w:r>
              <w:rPr>
                <w:rFonts w:ascii="Times New Roman" w:cs="Times New Roman" w:eastAsia="Times New Roman" w:hAnsi="Times New Roman"/>
                <w:sz w:val="18"/>
                <w:szCs w:val="18"/>
                <w:color w:val="auto"/>
              </w:rPr>
              <w:t>Obligations of states</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820" w:type="dxa"/>
            <w:vAlign w:val="bottom"/>
            <w:gridSpan w:val="2"/>
          </w:tcPr>
          <w:p>
            <w:pPr>
              <w:ind w:left="340"/>
              <w:spacing w:after="0" w:line="184" w:lineRule="exact"/>
              <w:rPr>
                <w:sz w:val="20"/>
                <w:szCs w:val="20"/>
                <w:color w:val="auto"/>
              </w:rPr>
            </w:pPr>
            <w:r>
              <w:rPr>
                <w:rFonts w:ascii="Times New Roman" w:cs="Times New Roman" w:eastAsia="Times New Roman" w:hAnsi="Times New Roman"/>
                <w:sz w:val="18"/>
                <w:szCs w:val="18"/>
                <w:color w:val="auto"/>
              </w:rPr>
              <w:t>and political</w:t>
            </w:r>
          </w:p>
        </w:tc>
        <w:tc>
          <w:tcPr>
            <w:tcW w:w="16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12,385</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23,383</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36,964</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Collateralized</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mortgage</w:t>
            </w:r>
          </w:p>
        </w:tc>
        <w:tc>
          <w:tcPr>
            <w:tcW w:w="16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obligations</w:t>
            </w:r>
          </w:p>
        </w:tc>
        <w:tc>
          <w:tcPr>
            <w:tcW w:w="16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tcPr>
          <w:p>
            <w:pPr>
              <w:spacing w:after="0"/>
              <w:rPr>
                <w:sz w:val="22"/>
                <w:szCs w:val="22"/>
                <w:color w:val="auto"/>
              </w:rPr>
            </w:pPr>
          </w:p>
        </w:tc>
        <w:tc>
          <w:tcPr>
            <w:tcW w:w="18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Total available-for-</w:t>
            </w:r>
          </w:p>
        </w:tc>
        <w:tc>
          <w:tcPr>
            <w:tcW w:w="1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17,591</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73,138</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94,699</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w:t>
            </w:r>
          </w:p>
        </w:tc>
        <w:tc>
          <w:tcPr>
            <w:tcW w:w="16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Held-to-maturity:</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Obligations of states</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and political</w:t>
            </w:r>
          </w:p>
        </w:tc>
        <w:tc>
          <w:tcPr>
            <w:tcW w:w="16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gridSpan w:val="2"/>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80" w:type="dxa"/>
            <w:vAlign w:val="bottom"/>
          </w:tcPr>
          <w:p>
            <w:pPr>
              <w:spacing w:after="0"/>
              <w:rPr>
                <w:sz w:val="22"/>
                <w:szCs w:val="22"/>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18,746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80" w:type="dxa"/>
            <w:vAlign w:val="bottom"/>
          </w:tcPr>
          <w:p>
            <w:pPr>
              <w:spacing w:after="0"/>
              <w:rPr>
                <w:sz w:val="22"/>
                <w:szCs w:val="22"/>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73,138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96,889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Weighted average yield for securities available-for-sale is the projected yield to maturity given current cash flow projections for U.S. government agency securities, mortgage-backed securities, and collateralized mortgage obligations. For callable municipal securities and corporate bonds, weighted average yield is a yield to worst. Weighted average yield for securities held-to-maturity is the stated coupon of the bond. Yields on tax-exempt securities are not presented on a tax-equivalent basis.</w:t>
      </w:r>
    </w:p>
    <w:p>
      <w:pPr>
        <w:sectPr>
          <w:pgSz w:w="11900" w:h="16838" w:orient="portrait"/>
          <w:cols w:equalWidth="0" w:num="1">
            <w:col w:w="11240"/>
          </w:cols>
          <w:pgMar w:left="320" w:top="1147" w:right="339" w:bottom="1440" w:gutter="0" w:footer="0" w:header="0"/>
        </w:sect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Loan Portfolio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loan portfolio is our largest class of interest-earning assets and typically provides higher yields than other types of interest-earning assets. Associated with the higher yields is an inherent amount of credit risk, which we attempt to mitigate with strong underwriting standards. As of September 30, 2026 and December 31, 2025, our total loans amounted to $4.7 billion and $4.1 billion, respectively. Table 14 presents the balance and associated percentage of each major product type within our portfolio as of the dates indicated.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14: Loans Outstanding</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98"/>
        </w:trPr>
        <w:tc>
          <w:tcPr>
            <w:tcW w:w="20" w:type="dxa"/>
            <w:vAlign w:val="bottom"/>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0"/>
        </w:trPr>
        <w:tc>
          <w:tcPr>
            <w:tcW w:w="20" w:type="dxa"/>
            <w:vAlign w:val="bottom"/>
            <w:tcBorders>
              <w:bottom w:val="single" w:sz="8" w:color="auto"/>
            </w:tcBorders>
          </w:tcPr>
          <w:p>
            <w:pPr>
              <w:spacing w:after="0"/>
              <w:rPr>
                <w:sz w:val="23"/>
                <w:szCs w:val="23"/>
                <w:color w:val="auto"/>
              </w:rPr>
            </w:pPr>
          </w:p>
        </w:tc>
        <w:tc>
          <w:tcPr>
            <w:tcW w:w="4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of Loans</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3"/>
                <w:szCs w:val="23"/>
                <w:color w:val="auto"/>
              </w:rPr>
            </w:pPr>
          </w:p>
        </w:tc>
        <w:tc>
          <w:tcPr>
            <w:tcW w:w="1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of Loans</w:t>
            </w:r>
          </w:p>
        </w:tc>
      </w:tr>
      <w:tr>
        <w:trPr>
          <w:trHeight w:val="263"/>
        </w:trPr>
        <w:tc>
          <w:tcPr>
            <w:tcW w:w="20" w:type="dxa"/>
            <w:vAlign w:val="bottom"/>
            <w:shd w:val="clear" w:color="auto" w:fill="CCEEFF"/>
          </w:tcPr>
          <w:p>
            <w:pPr>
              <w:spacing w:after="0"/>
              <w:rPr>
                <w:sz w:val="22"/>
                <w:szCs w:val="22"/>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4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Real estate:</w:t>
            </w: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4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3,678,924</w:t>
            </w:r>
          </w:p>
        </w:tc>
        <w:tc>
          <w:tcPr>
            <w:tcW w:w="2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78.19 %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3,305,713</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81.08 %</w:t>
            </w:r>
          </w:p>
        </w:tc>
      </w:tr>
      <w:tr>
        <w:trPr>
          <w:trHeight w:val="263"/>
        </w:trPr>
        <w:tc>
          <w:tcPr>
            <w:tcW w:w="20" w:type="dxa"/>
            <w:vAlign w:val="bottom"/>
          </w:tcPr>
          <w:p>
            <w:pPr>
              <w:spacing w:after="0"/>
              <w:rPr>
                <w:sz w:val="22"/>
                <w:szCs w:val="22"/>
                <w:color w:val="auto"/>
              </w:rPr>
            </w:pPr>
          </w:p>
        </w:tc>
        <w:tc>
          <w:tcPr>
            <w:tcW w:w="48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0.03 %</w:t>
            </w:r>
          </w:p>
        </w:tc>
      </w:tr>
      <w:tr>
        <w:trPr>
          <w:trHeight w:val="277"/>
        </w:trPr>
        <w:tc>
          <w:tcPr>
            <w:tcW w:w="20" w:type="dxa"/>
            <w:vAlign w:val="bottom"/>
            <w:shd w:val="clear" w:color="auto" w:fill="CCEEFF"/>
          </w:tcPr>
          <w:p>
            <w:pPr>
              <w:spacing w:after="0"/>
              <w:rPr>
                <w:sz w:val="24"/>
                <w:szCs w:val="24"/>
                <w:color w:val="auto"/>
              </w:rPr>
            </w:pPr>
          </w:p>
        </w:tc>
        <w:tc>
          <w:tcPr>
            <w:tcW w:w="4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construction</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122,561</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r>
      <w:tr>
        <w:trPr>
          <w:trHeight w:val="263"/>
        </w:trPr>
        <w:tc>
          <w:tcPr>
            <w:tcW w:w="20" w:type="dxa"/>
            <w:vAlign w:val="bottom"/>
          </w:tcPr>
          <w:p>
            <w:pPr>
              <w:spacing w:after="0"/>
              <w:rPr>
                <w:sz w:val="22"/>
                <w:szCs w:val="22"/>
                <w:color w:val="auto"/>
              </w:rPr>
            </w:pPr>
          </w:p>
        </w:tc>
        <w:tc>
          <w:tcPr>
            <w:tcW w:w="48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0.54 %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0.21 %</w:t>
            </w:r>
          </w:p>
        </w:tc>
      </w:tr>
      <w:tr>
        <w:trPr>
          <w:trHeight w:val="277"/>
        </w:trPr>
        <w:tc>
          <w:tcPr>
            <w:tcW w:w="20" w:type="dxa"/>
            <w:vAlign w:val="bottom"/>
            <w:shd w:val="clear" w:color="auto" w:fill="CCEEFF"/>
          </w:tcPr>
          <w:p>
            <w:pPr>
              <w:spacing w:after="0"/>
              <w:rPr>
                <w:sz w:val="24"/>
                <w:szCs w:val="24"/>
                <w:color w:val="auto"/>
              </w:rPr>
            </w:pPr>
          </w:p>
        </w:tc>
        <w:tc>
          <w:tcPr>
            <w:tcW w:w="4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0.88 %</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37,566</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0.92 %</w:t>
            </w:r>
          </w:p>
        </w:tc>
      </w:tr>
      <w:tr>
        <w:trPr>
          <w:trHeight w:val="263"/>
        </w:trPr>
        <w:tc>
          <w:tcPr>
            <w:tcW w:w="20" w:type="dxa"/>
            <w:vAlign w:val="bottom"/>
          </w:tcPr>
          <w:p>
            <w:pPr>
              <w:spacing w:after="0"/>
              <w:rPr>
                <w:sz w:val="22"/>
                <w:szCs w:val="22"/>
                <w:color w:val="auto"/>
              </w:rPr>
            </w:pPr>
          </w:p>
        </w:tc>
        <w:tc>
          <w:tcPr>
            <w:tcW w:w="48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Farmland</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1.46 %</w:t>
            </w:r>
          </w:p>
        </w:tc>
      </w:tr>
      <w:tr>
        <w:trPr>
          <w:trHeight w:val="277"/>
        </w:trPr>
        <w:tc>
          <w:tcPr>
            <w:tcW w:w="20" w:type="dxa"/>
            <w:vAlign w:val="bottom"/>
            <w:shd w:val="clear" w:color="auto" w:fill="CCEEFF"/>
          </w:tcPr>
          <w:p>
            <w:pPr>
              <w:spacing w:after="0"/>
              <w:rPr>
                <w:sz w:val="24"/>
                <w:szCs w:val="24"/>
                <w:color w:val="auto"/>
              </w:rPr>
            </w:pPr>
          </w:p>
        </w:tc>
        <w:tc>
          <w:tcPr>
            <w:tcW w:w="4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48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Secured</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313,600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251,736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6.17 %</w:t>
            </w:r>
          </w:p>
        </w:tc>
      </w:tr>
      <w:tr>
        <w:trPr>
          <w:trHeight w:val="277"/>
        </w:trPr>
        <w:tc>
          <w:tcPr>
            <w:tcW w:w="20" w:type="dxa"/>
            <w:vAlign w:val="bottom"/>
            <w:shd w:val="clear" w:color="auto" w:fill="CCEEFF"/>
          </w:tcPr>
          <w:p>
            <w:pPr>
              <w:spacing w:after="0"/>
              <w:rPr>
                <w:sz w:val="24"/>
                <w:szCs w:val="24"/>
                <w:color w:val="auto"/>
              </w:rPr>
            </w:pPr>
          </w:p>
        </w:tc>
        <w:tc>
          <w:tcPr>
            <w:tcW w:w="4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Unsecured</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39,164</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0.83 %</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40,422</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0.99 %</w:t>
            </w:r>
          </w:p>
        </w:tc>
      </w:tr>
      <w:tr>
        <w:trPr>
          <w:trHeight w:val="264"/>
        </w:trPr>
        <w:tc>
          <w:tcPr>
            <w:tcW w:w="20" w:type="dxa"/>
            <w:vAlign w:val="bottom"/>
            <w:tcBorders>
              <w:bottom w:val="single" w:sz="8" w:color="CCEEFF"/>
            </w:tcBorders>
          </w:tcPr>
          <w:p>
            <w:pPr>
              <w:spacing w:after="0"/>
              <w:rPr>
                <w:sz w:val="22"/>
                <w:szCs w:val="22"/>
                <w:color w:val="auto"/>
              </w:rPr>
            </w:pPr>
          </w:p>
        </w:tc>
        <w:tc>
          <w:tcPr>
            <w:tcW w:w="484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Consumer and other</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425,531</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9.04 %</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275,475</w:t>
            </w:r>
          </w:p>
        </w:tc>
        <w:tc>
          <w:tcPr>
            <w:tcW w:w="8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6.77 %</w:t>
            </w:r>
          </w:p>
        </w:tc>
      </w:tr>
      <w:tr>
        <w:trPr>
          <w:trHeight w:val="263"/>
        </w:trPr>
        <w:tc>
          <w:tcPr>
            <w:tcW w:w="20" w:type="dxa"/>
            <w:vAlign w:val="bottom"/>
            <w:shd w:val="clear" w:color="auto" w:fill="CCEEFF"/>
          </w:tcPr>
          <w:p>
            <w:pPr>
              <w:spacing w:after="0"/>
              <w:rPr>
                <w:sz w:val="22"/>
                <w:szCs w:val="22"/>
                <w:color w:val="auto"/>
              </w:rPr>
            </w:pPr>
          </w:p>
        </w:tc>
        <w:tc>
          <w:tcPr>
            <w:tcW w:w="48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Loans held for investment, gross</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4,706,393</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4,077,019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57"/>
        </w:trPr>
        <w:tc>
          <w:tcPr>
            <w:tcW w:w="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r>
      <w:tr>
        <w:trPr>
          <w:trHeight w:val="263"/>
        </w:trPr>
        <w:tc>
          <w:tcPr>
            <w:tcW w:w="20" w:type="dxa"/>
            <w:vAlign w:val="bottom"/>
            <w:shd w:val="clear" w:color="auto" w:fill="CCEEFF"/>
          </w:tcPr>
          <w:p>
            <w:pPr>
              <w:spacing w:after="0"/>
              <w:rPr>
                <w:sz w:val="22"/>
                <w:szCs w:val="22"/>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20" w:type="dxa"/>
            <w:vAlign w:val="bottom"/>
          </w:tcPr>
          <w:p>
            <w:pPr>
              <w:spacing w:after="0"/>
              <w:rPr>
                <w:sz w:val="23"/>
                <w:szCs w:val="23"/>
                <w:color w:val="auto"/>
              </w:rPr>
            </w:pPr>
          </w:p>
        </w:tc>
        <w:tc>
          <w:tcPr>
            <w:tcW w:w="48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Total loans, gross</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4,706,393</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4,077,019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loan fees</w:t>
            </w: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48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Total loans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4,704,215</w:t>
            </w:r>
          </w:p>
        </w:tc>
        <w:tc>
          <w:tcPr>
            <w:tcW w:w="20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4,074,929</w:t>
            </w: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real estate loans consist of term loans secured by a mortgage lien on the real property, such as office and industrial buildings, manufactured home communities, self-storage facilities, hospitality properties, faith-based properties, retail shopping centers, and apartment buildings, as well as commercial real estate construction loans that are offered to builders and developers.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Commercial land and development and commercial construction loans consist of loans made to fund commercial land acquisition and development and commercial construction, respectively. The real estate purchased with these loans is generally located in or near our market.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Residential real estate and construction real estate loans consist of loans secured by single-family and multifamily residential properties, which are both owner-occupied and investor-owned.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Farmland loans consist of loans used to purchase, refinance, or improve farmland secured by farming properties themselves. The farmland is generally located in or near our market.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loans consist of financing for commercial purposes in various lines of business, including manufacturing, service industry, and professional service areas. Commercial loans can be secured or unsecured but are generally secured with the assets of the company and/or the personal guaranty of the business owner(s).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Consumer and other loans consist primarily of loans purchased in a loan purchase program with a non-bank lender, generally made to professionals for the purpose of large personal or household purchases. The loans are unsecured, fixed</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rate loans. Consumer and other loans also include loans purchased or originated through financing partnerships which are no longer active.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Table 15 presents the commercial real estate loan balance, associated percentage of commercial real estate concentrations, estimated real estate collateral values, and related loan-to-value (“LTV”) ranges by collateral type as of the dates indicated. Revolving lines of credit with zero balance and 0.00% LTV are excluded from this table. Collateral values are determined at origination using third-party real estate appraisals or evaluations. Updated appraisals, which are included in Table 15, may be obtained for loans that are downgraded to watch or substandard. Loans over $2.0 million are reviewed annually, at which time an internal assessment of collateral values is completed.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Table 15: Commercial Real Estate Loans</w:t>
            </w:r>
          </w:p>
        </w:tc>
        <w:tc>
          <w:tcPr>
            <w:tcW w:w="2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Loan Balance</w:t>
            </w:r>
          </w:p>
        </w:tc>
        <w:tc>
          <w:tcPr>
            <w:tcW w:w="100" w:type="dxa"/>
            <w:vAlign w:val="bottom"/>
            <w:vMerge w:val="restart"/>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of Commercial</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Collateral Value</w:t>
            </w:r>
          </w:p>
        </w:tc>
        <w:tc>
          <w:tcPr>
            <w:tcW w:w="100" w:type="dxa"/>
            <w:vAlign w:val="bottom"/>
          </w:tcPr>
          <w:p>
            <w:pPr>
              <w:spacing w:after="0"/>
              <w:rPr>
                <w:sz w:val="18"/>
                <w:szCs w:val="18"/>
                <w:color w:val="auto"/>
              </w:rPr>
            </w:pPr>
          </w:p>
        </w:tc>
        <w:tc>
          <w:tcPr>
            <w:tcW w:w="15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Minimum LTV</w:t>
            </w:r>
          </w:p>
        </w:tc>
        <w:tc>
          <w:tcPr>
            <w:tcW w:w="100" w:type="dxa"/>
            <w:vAlign w:val="bottom"/>
            <w:vMerge w:val="restart"/>
          </w:tcPr>
          <w:p>
            <w:pPr>
              <w:spacing w:after="0"/>
              <w:rPr>
                <w:sz w:val="18"/>
                <w:szCs w:val="18"/>
                <w:color w:val="auto"/>
              </w:rPr>
            </w:pPr>
          </w:p>
        </w:tc>
        <w:tc>
          <w:tcPr>
            <w:tcW w:w="15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Maximum LTV</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5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Manufactured home community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1,118,987</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30.42 %</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2,009,167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15.90 %</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75.28 %</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RV Park</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451,113</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12.26 %</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844,098</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15.80 %</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72.96 %</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Retail</w:t>
            </w: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328,883</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720,231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6.10 %</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73.26 %</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Multifamily</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323,287</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8.79 %</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731,902</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78.60 %</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Office</w:t>
            </w: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293,011</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623,799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74.60 %</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256,636</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6.98 %</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632,527</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0.51 %</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Mini storage</w:t>
            </w: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207,592</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412,140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69.55 %</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Faith-based</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188,050</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5.11 %</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501,725</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0.98 %</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32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All other types</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511,365</w:t>
            </w:r>
          </w:p>
        </w:tc>
        <w:tc>
          <w:tcPr>
            <w:tcW w:w="10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13.90 %</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1,118,802</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100" w:type="dxa"/>
            <w:vAlign w:val="bottom"/>
            <w:tcBorders>
              <w:bottom w:val="single" w:sz="8" w:color="CCEEFF"/>
            </w:tcBorders>
          </w:tcPr>
          <w:p>
            <w:pPr>
              <w:spacing w:after="0"/>
              <w:rPr>
                <w:sz w:val="23"/>
                <w:szCs w:val="23"/>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119.80 %</w:t>
            </w: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32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3,678,924</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7,594,391</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Manufactured home community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1,025,386</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31.02 %</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1,820,597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16.16 %</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73.59 %</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RV Park</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412,955</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12.49 %</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742,097</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17.56 %</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74.70 %</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Retail</w:t>
            </w: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317,536</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668,216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6.23 %</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74.23 %</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Multifamily</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286,064</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8.65 %</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618,588</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7.56 %</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79.21 %</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247,368</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563,631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0.99 %</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91.33 %</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Faith-based</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193,362</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5.85 %</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513,107</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8.66 %</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Mini storage</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190,252</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381,810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14.63 %</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70.00 %</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w:t>
            </w: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175,767</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5.32 %</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404,727</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4.62 %</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74.95 %</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32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All other types</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457,023</w:t>
            </w:r>
          </w:p>
        </w:tc>
        <w:tc>
          <w:tcPr>
            <w:tcW w:w="10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13.82 %</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966,325</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0.79 %</w:t>
            </w:r>
          </w:p>
        </w:tc>
        <w:tc>
          <w:tcPr>
            <w:tcW w:w="100" w:type="dxa"/>
            <w:vAlign w:val="bottom"/>
            <w:tcBorders>
              <w:bottom w:val="single" w:sz="8" w:color="CCEEFF"/>
            </w:tcBorders>
          </w:tcPr>
          <w:p>
            <w:pPr>
              <w:spacing w:after="0"/>
              <w:rPr>
                <w:sz w:val="23"/>
                <w:szCs w:val="23"/>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134.52 %</w:t>
            </w: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32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3,305,713</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6,679,098</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7" w:right="339" w:bottom="1440" w:gutter="0" w:footer="0" w:header="0"/>
        </w:sectPr>
      </w:pP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Types of collateral in the “all other types” category are those that individually make up less than 5.00% of the commercial real estate concentration.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LTV and maximum LTV not shown for aggregated totals, as such values are meaningful only when presented by specific category.</w:t>
      </w:r>
    </w:p>
    <w:p>
      <w:pPr>
        <w:spacing w:after="0" w:line="200" w:lineRule="exact"/>
        <w:rPr>
          <w:sz w:val="20"/>
          <w:szCs w:val="20"/>
          <w:color w:val="auto"/>
        </w:rPr>
      </w:pPr>
    </w:p>
    <w:p>
      <w:pPr>
        <w:sectPr>
          <w:pgSz w:w="11900" w:h="16838" w:orient="portrait"/>
          <w:cols w:equalWidth="0" w:num="2">
            <w:col w:w="60" w:space="260"/>
            <w:col w:w="10920"/>
          </w:cols>
          <w:pgMar w:left="320" w:top="1147" w:right="339" w:bottom="1440" w:gutter="0" w:footer="0" w:header="0"/>
          <w:type w:val="continuous"/>
        </w:sectPr>
      </w:pPr>
    </w:p>
    <w:p>
      <w:pPr>
        <w:spacing w:after="0" w:line="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the past several years, we have experienced significant growth in our loan portfolio, although the relative composition of the portfolio has not changed materially. Our primary focus remains commercial real estate lending (including commercial, commercial land and development, and commercial construction), which constitutes 80.84% of loans held for investment at September 30, 2026. Commercial secured lending represents 6.66% of loans held for investment at September 30, 2026.</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58" w:name="page59"/>
    <w:bookmarkEnd w:id="58"/>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 that our commercial real estate loan concentration is significant within our balance sheet. Commercial real estate loan balances as a percentage of risk-based capital were 504.66% and 594.17% as of September 30, 2026 and December 31, 2025, respectively. The decrease period-over-period is primarily attributable to an increase in risk-based capital as the result of an underwritten public offering of common stock during the three months ended September 30, 2026. We have established internal concentration limits in the loan portfolio for commercial real estate loans by sector (e.g., manufactured home communities, self-storage, hospitality, etc.). All loan sectors were within our established limits as of September 30, 2026. Additionally, our loans are geographically concentrated with borrowers and collateralized properties primarily in California.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past success is attributable to focusing on products and markets where we have significant expertise. Given our concentrations, we have established strong risk management practices, including risk-based lending standards, self-established product and geographical limits, annual evaluations of income property loans, and semi-annual top-down and bottom-up stress testing. We expect to continue growing our loan portfolio. We do not expect our product or geographic concentrations to materially change.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16 sets forth the contractual maturities and sensitivity to interest rate changes of our loan portfolio as of the dates indicated.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Table 16: Contractual Maturities and Sensitivity to Interest Rate Changes - Gross Loans</w:t>
            </w: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146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Due in 1 year or</w:t>
            </w:r>
          </w:p>
        </w:tc>
        <w:tc>
          <w:tcPr>
            <w:tcW w:w="12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Due after 1 year</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Due after 5 years</w:t>
            </w:r>
          </w:p>
        </w:tc>
        <w:tc>
          <w:tcPr>
            <w:tcW w:w="16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Due after 15</w:t>
            </w:r>
          </w:p>
        </w:tc>
        <w:tc>
          <w:tcPr>
            <w:tcW w:w="300" w:type="dxa"/>
            <w:vAlign w:val="bottom"/>
          </w:tcPr>
          <w:p>
            <w:pPr>
              <w:spacing w:after="0"/>
              <w:rPr>
                <w:sz w:val="18"/>
                <w:szCs w:val="18"/>
                <w:color w:val="auto"/>
              </w:rPr>
            </w:pPr>
          </w:p>
        </w:tc>
        <w:tc>
          <w:tcPr>
            <w:tcW w:w="10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less</w:t>
            </w:r>
          </w:p>
        </w:tc>
        <w:tc>
          <w:tcPr>
            <w:tcW w:w="120" w:type="dxa"/>
            <w:vAlign w:val="bottom"/>
          </w:tcPr>
          <w:p>
            <w:pPr>
              <w:spacing w:after="0"/>
              <w:rPr>
                <w:sz w:val="21"/>
                <w:szCs w:val="21"/>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through 5 years</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through 15 years</w:t>
            </w:r>
          </w:p>
        </w:tc>
        <w:tc>
          <w:tcPr>
            <w:tcW w:w="160" w:type="dxa"/>
            <w:vAlign w:val="bottom"/>
          </w:tcPr>
          <w:p>
            <w:pPr>
              <w:spacing w:after="0"/>
              <w:rPr>
                <w:sz w:val="21"/>
                <w:szCs w:val="21"/>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30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60"/>
        </w:trPr>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340" w:type="dxa"/>
            <w:vAlign w:val="bottom"/>
            <w:tcBorders>
              <w:top w:val="single" w:sz="8" w:color="auto"/>
              <w:bottom w:val="single" w:sz="8" w:color="CCEEFF"/>
            </w:tcBorders>
            <w:shd w:val="clear" w:color="auto" w:fill="CCEEFF"/>
          </w:tcPr>
          <w:p>
            <w:pPr>
              <w:spacing w:after="0"/>
              <w:rPr>
                <w:sz w:val="24"/>
                <w:szCs w:val="24"/>
                <w:color w:val="auto"/>
              </w:rPr>
            </w:pPr>
          </w:p>
        </w:tc>
        <w:tc>
          <w:tcPr>
            <w:tcW w:w="1040" w:type="dxa"/>
            <w:vAlign w:val="bottom"/>
            <w:tcBorders>
              <w:top w:val="single" w:sz="8" w:color="auto"/>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980" w:type="dxa"/>
            <w:vAlign w:val="bottom"/>
            <w:tcBorders>
              <w:top w:val="single" w:sz="8" w:color="auto"/>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CCEEFF"/>
            </w:tcBorders>
            <w:shd w:val="clear" w:color="auto" w:fill="CCEEFF"/>
          </w:tcPr>
          <w:p>
            <w:pPr>
              <w:spacing w:after="0"/>
              <w:rPr>
                <w:sz w:val="24"/>
                <w:szCs w:val="24"/>
                <w:color w:val="auto"/>
              </w:rPr>
            </w:pPr>
          </w:p>
        </w:tc>
        <w:tc>
          <w:tcPr>
            <w:tcW w:w="1100" w:type="dxa"/>
            <w:vAlign w:val="bottom"/>
            <w:tcBorders>
              <w:top w:val="single" w:sz="8" w:color="auto"/>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CCEEFF"/>
            </w:tcBorders>
            <w:shd w:val="clear" w:color="auto" w:fill="CCEEFF"/>
          </w:tcPr>
          <w:p>
            <w:pPr>
              <w:spacing w:after="0"/>
              <w:rPr>
                <w:sz w:val="24"/>
                <w:szCs w:val="24"/>
                <w:color w:val="auto"/>
              </w:rPr>
            </w:pPr>
          </w:p>
        </w:tc>
        <w:tc>
          <w:tcPr>
            <w:tcW w:w="120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CCEEFF"/>
            </w:tcBorders>
            <w:shd w:val="clear" w:color="auto" w:fill="CCEEFF"/>
          </w:tcPr>
          <w:p>
            <w:pPr>
              <w:spacing w:after="0"/>
              <w:rPr>
                <w:sz w:val="24"/>
                <w:szCs w:val="24"/>
                <w:color w:val="auto"/>
              </w:rPr>
            </w:pPr>
          </w:p>
        </w:tc>
        <w:tc>
          <w:tcPr>
            <w:tcW w:w="1080" w:type="dxa"/>
            <w:vAlign w:val="bottom"/>
            <w:tcBorders>
              <w:top w:val="single" w:sz="8" w:color="auto"/>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Loans with fixed interest rates: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79,610</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351,621</w:t>
            </w:r>
          </w:p>
        </w:tc>
        <w:tc>
          <w:tcPr>
            <w:tcW w:w="8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290,432</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725,207</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construction</w:t>
            </w:r>
          </w:p>
        </w:tc>
        <w:tc>
          <w:tcPr>
            <w:tcW w:w="34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7,835</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Farmland</w:t>
            </w:r>
          </w:p>
        </w:tc>
        <w:tc>
          <w:tcPr>
            <w:tcW w:w="3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Secured</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46,795</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14,651</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Unsecured</w:t>
            </w: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Consumer and other</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69,667</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355,537</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425,425</w:t>
            </w: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tcPr>
          <w:p>
            <w:pPr>
              <w:spacing w:after="0"/>
              <w:rPr>
                <w:sz w:val="22"/>
                <w:szCs w:val="22"/>
                <w:color w:val="auto"/>
              </w:rPr>
            </w:pPr>
          </w:p>
        </w:tc>
        <w:tc>
          <w:tcPr>
            <w:tcW w:w="37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loans with fixed interest rates</w:t>
            </w: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82,751</w:t>
            </w: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478,640</w:t>
            </w:r>
          </w:p>
        </w:tc>
        <w:tc>
          <w:tcPr>
            <w:tcW w:w="8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693,401</w:t>
            </w: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1,258,738</w:t>
            </w:r>
          </w:p>
        </w:tc>
        <w:tc>
          <w:tcPr>
            <w:tcW w:w="0" w:type="dxa"/>
            <w:vAlign w:val="bottom"/>
          </w:tcPr>
          <w:p>
            <w:pPr>
              <w:spacing w:after="0"/>
              <w:rPr>
                <w:sz w:val="1"/>
                <w:szCs w:val="1"/>
                <w:color w:val="auto"/>
              </w:rPr>
            </w:pPr>
          </w:p>
        </w:tc>
      </w:tr>
      <w:tr>
        <w:trPr>
          <w:trHeight w:val="95"/>
        </w:trPr>
        <w:tc>
          <w:tcPr>
            <w:tcW w:w="20" w:type="dxa"/>
            <w:vAlign w:val="bottom"/>
            <w:shd w:val="clear" w:color="auto" w:fill="CCEEFF"/>
          </w:tcPr>
          <w:p>
            <w:pPr>
              <w:spacing w:after="0"/>
              <w:rPr>
                <w:sz w:val="8"/>
                <w:szCs w:val="8"/>
                <w:color w:val="auto"/>
              </w:rPr>
            </w:pPr>
          </w:p>
        </w:tc>
        <w:tc>
          <w:tcPr>
            <w:tcW w:w="37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Loans with floating or adjustable interest rates: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392,232</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2,460,017</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2,953,717</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construction</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51,071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119,317</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19,549</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20,687</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33,695</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Farmland</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17,751</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33,845</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Secured</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100,070</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78,848</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58,870</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249,356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Unsecured</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7,158</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10,946</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Consumer and other</w:t>
            </w:r>
          </w:p>
        </w:tc>
        <w:tc>
          <w:tcPr>
            <w:tcW w:w="3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60" w:type="dxa"/>
            <w:vAlign w:val="bottom"/>
          </w:tcPr>
          <w:p>
            <w:pPr>
              <w:ind w:left="540"/>
              <w:spacing w:after="0" w:line="205" w:lineRule="exact"/>
              <w:rPr>
                <w:sz w:val="20"/>
                <w:szCs w:val="20"/>
                <w:color w:val="auto"/>
              </w:rPr>
            </w:pPr>
            <w:r>
              <w:rPr>
                <w:rFonts w:ascii="Times New Roman" w:cs="Times New Roman" w:eastAsia="Times New Roman" w:hAnsi="Times New Roman"/>
                <w:sz w:val="18"/>
                <w:szCs w:val="18"/>
                <w:color w:val="auto"/>
              </w:rPr>
              <w:t>Total loans with floating or adjustable</w:t>
            </w: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tcPr>
          <w:p>
            <w:pPr>
              <w:spacing w:after="0"/>
              <w:rPr>
                <w:sz w:val="20"/>
                <w:szCs w:val="20"/>
                <w:color w:val="auto"/>
              </w:rPr>
            </w:pPr>
          </w:p>
        </w:tc>
        <w:tc>
          <w:tcPr>
            <w:tcW w:w="37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interest rates</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168,222</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579,554</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2,616,800</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83,079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3,447,655</w:t>
            </w:r>
          </w:p>
        </w:tc>
        <w:tc>
          <w:tcPr>
            <w:tcW w:w="0" w:type="dxa"/>
            <w:vAlign w:val="bottom"/>
          </w:tcPr>
          <w:p>
            <w:pPr>
              <w:spacing w:after="0"/>
              <w:rPr>
                <w:sz w:val="1"/>
                <w:szCs w:val="1"/>
                <w:color w:val="auto"/>
              </w:rPr>
            </w:pPr>
          </w:p>
        </w:tc>
      </w:tr>
      <w:tr>
        <w:trPr>
          <w:trHeight w:val="295"/>
        </w:trPr>
        <w:tc>
          <w:tcPr>
            <w:tcW w:w="20" w:type="dxa"/>
            <w:vAlign w:val="bottom"/>
            <w:tcBorders>
              <w:bottom w:val="single" w:sz="8" w:color="CCEEFF"/>
            </w:tcBorders>
            <w:shd w:val="clear" w:color="auto" w:fill="CCEEFF"/>
          </w:tcPr>
          <w:p>
            <w:pPr>
              <w:spacing w:after="0"/>
              <w:rPr>
                <w:sz w:val="24"/>
                <w:szCs w:val="24"/>
                <w:color w:val="auto"/>
              </w:rPr>
            </w:pPr>
          </w:p>
        </w:tc>
        <w:tc>
          <w:tcPr>
            <w:tcW w:w="37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gross loans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250,973</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1,058,194</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3,310,201</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4,706,393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3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loans:</w:t>
            </w: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125,064</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743,853</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2,750,449</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3,678,924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construction</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9,993</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51,071</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46,149</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19,549</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25,569</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17,951</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21,734</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Farmland</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17,751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38,236</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57,027</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Secured</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102,868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125,643</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73,521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313,600</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Unsecured</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11,159</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24,099</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Consumer and other</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69,773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355,537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425,531</w:t>
            </w:r>
          </w:p>
        </w:tc>
        <w:tc>
          <w:tcPr>
            <w:tcW w:w="0" w:type="dxa"/>
            <w:vAlign w:val="bottom"/>
          </w:tcPr>
          <w:p>
            <w:pPr>
              <w:spacing w:after="0"/>
              <w:rPr>
                <w:sz w:val="1"/>
                <w:szCs w:val="1"/>
                <w:color w:val="auto"/>
              </w:rPr>
            </w:pPr>
          </w:p>
        </w:tc>
      </w:tr>
      <w:tr>
        <w:trPr>
          <w:trHeight w:val="289"/>
        </w:trPr>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376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250,973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1,058,194</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3,310,201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4,706,393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8"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3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Table 16: Contractual Maturities and Sensitivity to Interest Rate Changes - Gross Loans (continued)</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146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Due in 1 year or</w:t>
            </w:r>
          </w:p>
        </w:tc>
        <w:tc>
          <w:tcPr>
            <w:tcW w:w="12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Due after 1 year</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Due after 5 years</w:t>
            </w:r>
          </w:p>
        </w:tc>
        <w:tc>
          <w:tcPr>
            <w:tcW w:w="16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Due after 15</w:t>
            </w:r>
          </w:p>
        </w:tc>
        <w:tc>
          <w:tcPr>
            <w:tcW w:w="300" w:type="dxa"/>
            <w:vAlign w:val="bottom"/>
          </w:tcPr>
          <w:p>
            <w:pPr>
              <w:spacing w:after="0"/>
              <w:rPr>
                <w:sz w:val="18"/>
                <w:szCs w:val="18"/>
                <w:color w:val="auto"/>
              </w:rPr>
            </w:pPr>
          </w:p>
        </w:tc>
        <w:tc>
          <w:tcPr>
            <w:tcW w:w="10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less</w:t>
            </w:r>
          </w:p>
        </w:tc>
        <w:tc>
          <w:tcPr>
            <w:tcW w:w="120" w:type="dxa"/>
            <w:vAlign w:val="bottom"/>
          </w:tcPr>
          <w:p>
            <w:pPr>
              <w:spacing w:after="0"/>
              <w:rPr>
                <w:sz w:val="21"/>
                <w:szCs w:val="21"/>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through 5 years</w:t>
            </w: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through 15 years</w:t>
            </w:r>
          </w:p>
        </w:tc>
        <w:tc>
          <w:tcPr>
            <w:tcW w:w="160" w:type="dxa"/>
            <w:vAlign w:val="bottom"/>
          </w:tcPr>
          <w:p>
            <w:pPr>
              <w:spacing w:after="0"/>
              <w:rPr>
                <w:sz w:val="21"/>
                <w:szCs w:val="21"/>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30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60"/>
        </w:trPr>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40" w:type="dxa"/>
            <w:vAlign w:val="bottom"/>
            <w:tcBorders>
              <w:top w:val="single" w:sz="8" w:color="auto"/>
              <w:bottom w:val="single" w:sz="8" w:color="CCEEFF"/>
            </w:tcBorders>
            <w:shd w:val="clear" w:color="auto" w:fill="CCEEFF"/>
          </w:tcPr>
          <w:p>
            <w:pPr>
              <w:spacing w:after="0"/>
              <w:rPr>
                <w:sz w:val="24"/>
                <w:szCs w:val="24"/>
                <w:color w:val="auto"/>
              </w:rPr>
            </w:pPr>
          </w:p>
        </w:tc>
        <w:tc>
          <w:tcPr>
            <w:tcW w:w="1040" w:type="dxa"/>
            <w:vAlign w:val="bottom"/>
            <w:tcBorders>
              <w:top w:val="single" w:sz="8" w:color="auto"/>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980" w:type="dxa"/>
            <w:vAlign w:val="bottom"/>
            <w:tcBorders>
              <w:top w:val="single" w:sz="8" w:color="auto"/>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CCEEFF"/>
            </w:tcBorders>
            <w:shd w:val="clear" w:color="auto" w:fill="CCEEFF"/>
          </w:tcPr>
          <w:p>
            <w:pPr>
              <w:spacing w:after="0"/>
              <w:rPr>
                <w:sz w:val="24"/>
                <w:szCs w:val="24"/>
                <w:color w:val="auto"/>
              </w:rPr>
            </w:pPr>
          </w:p>
        </w:tc>
        <w:tc>
          <w:tcPr>
            <w:tcW w:w="940" w:type="dxa"/>
            <w:vAlign w:val="bottom"/>
            <w:tcBorders>
              <w:top w:val="single" w:sz="8" w:color="auto"/>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CCEEFF"/>
            </w:tcBorders>
            <w:shd w:val="clear" w:color="auto" w:fill="CCEEFF"/>
          </w:tcPr>
          <w:p>
            <w:pPr>
              <w:spacing w:after="0"/>
              <w:rPr>
                <w:sz w:val="24"/>
                <w:szCs w:val="24"/>
                <w:color w:val="auto"/>
              </w:rPr>
            </w:pPr>
          </w:p>
        </w:tc>
        <w:tc>
          <w:tcPr>
            <w:tcW w:w="120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CCEEFF"/>
            </w:tcBorders>
            <w:shd w:val="clear" w:color="auto" w:fill="CCEEFF"/>
          </w:tcPr>
          <w:p>
            <w:pPr>
              <w:spacing w:after="0"/>
              <w:rPr>
                <w:sz w:val="24"/>
                <w:szCs w:val="24"/>
                <w:color w:val="auto"/>
              </w:rPr>
            </w:pPr>
          </w:p>
        </w:tc>
        <w:tc>
          <w:tcPr>
            <w:tcW w:w="1080" w:type="dxa"/>
            <w:vAlign w:val="bottom"/>
            <w:tcBorders>
              <w:top w:val="single" w:sz="8" w:color="auto"/>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Loans with fixed interest rates: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31,238</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275,099</w:t>
            </w:r>
          </w:p>
        </w:tc>
        <w:tc>
          <w:tcPr>
            <w:tcW w:w="80" w:type="dxa"/>
            <w:vAlign w:val="bottom"/>
          </w:tcPr>
          <w:p>
            <w:pPr>
              <w:spacing w:after="0"/>
              <w:rPr>
                <w:sz w:val="22"/>
                <w:szCs w:val="22"/>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366,518</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676,426</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construction</w:t>
            </w:r>
          </w:p>
        </w:tc>
        <w:tc>
          <w:tcPr>
            <w:tcW w:w="34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3"/>
                <w:szCs w:val="2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Farmland</w:t>
            </w:r>
          </w:p>
        </w:tc>
        <w:tc>
          <w:tcPr>
            <w:tcW w:w="3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Secured</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36,461</w:t>
            </w: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16,118</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Unsecured</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23,417</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29,256</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Consumer and other</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17,779</w:t>
            </w: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257,472</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275,323</w:t>
            </w: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tcPr>
          <w:p>
            <w:pPr>
              <w:spacing w:after="0"/>
              <w:rPr>
                <w:sz w:val="22"/>
                <w:szCs w:val="22"/>
                <w:color w:val="auto"/>
              </w:rPr>
            </w:pPr>
          </w:p>
        </w:tc>
        <w:tc>
          <w:tcPr>
            <w:tcW w:w="37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loans with fixed interest rates</w:t>
            </w: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34,579</w:t>
            </w: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341,037</w:t>
            </w:r>
          </w:p>
        </w:tc>
        <w:tc>
          <w:tcPr>
            <w:tcW w:w="80" w:type="dxa"/>
            <w:vAlign w:val="bottom"/>
            <w:tcBorders>
              <w:bottom w:val="single" w:sz="8" w:color="CCEEFF"/>
            </w:tcBorders>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669,450</w:t>
            </w: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1,049,049</w:t>
            </w:r>
          </w:p>
        </w:tc>
        <w:tc>
          <w:tcPr>
            <w:tcW w:w="0" w:type="dxa"/>
            <w:vAlign w:val="bottom"/>
          </w:tcPr>
          <w:p>
            <w:pPr>
              <w:spacing w:after="0"/>
              <w:rPr>
                <w:sz w:val="1"/>
                <w:szCs w:val="1"/>
                <w:color w:val="auto"/>
              </w:rPr>
            </w:pPr>
          </w:p>
        </w:tc>
      </w:tr>
      <w:tr>
        <w:trPr>
          <w:trHeight w:val="95"/>
        </w:trPr>
        <w:tc>
          <w:tcPr>
            <w:tcW w:w="20" w:type="dxa"/>
            <w:vAlign w:val="bottom"/>
            <w:shd w:val="clear" w:color="auto" w:fill="CCEEFF"/>
          </w:tcPr>
          <w:p>
            <w:pPr>
              <w:spacing w:after="0"/>
              <w:rPr>
                <w:sz w:val="8"/>
                <w:szCs w:val="8"/>
                <w:color w:val="auto"/>
              </w:rPr>
            </w:pPr>
          </w:p>
        </w:tc>
        <w:tc>
          <w:tcPr>
            <w:tcW w:w="37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Loans with floating or adjustable interest rates: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29,907</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274,098</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2,257,847</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2,629,287</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construction</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49,478</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32,749</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96,760</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30,076</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Farmland</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12,829</w:t>
            </w: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40,390</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Secured</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57,918</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67,862</w:t>
            </w: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59,623</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195,970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Unsecured</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6,642</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11,166</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Consumer and other</w:t>
            </w:r>
          </w:p>
        </w:tc>
        <w:tc>
          <w:tcPr>
            <w:tcW w:w="3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60" w:type="dxa"/>
            <w:vAlign w:val="bottom"/>
          </w:tcPr>
          <w:p>
            <w:pPr>
              <w:ind w:left="540"/>
              <w:spacing w:after="0" w:line="205" w:lineRule="exact"/>
              <w:rPr>
                <w:sz w:val="20"/>
                <w:szCs w:val="20"/>
                <w:color w:val="auto"/>
              </w:rPr>
            </w:pPr>
            <w:r>
              <w:rPr>
                <w:rFonts w:ascii="Times New Roman" w:cs="Times New Roman" w:eastAsia="Times New Roman" w:hAnsi="Times New Roman"/>
                <w:sz w:val="18"/>
                <w:szCs w:val="18"/>
                <w:color w:val="auto"/>
              </w:rPr>
              <w:t>Total loans with floating or adjustable</w:t>
            </w: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tcPr>
          <w:p>
            <w:pPr>
              <w:spacing w:after="0"/>
              <w:rPr>
                <w:sz w:val="20"/>
                <w:szCs w:val="20"/>
                <w:color w:val="auto"/>
              </w:rPr>
            </w:pPr>
          </w:p>
        </w:tc>
        <w:tc>
          <w:tcPr>
            <w:tcW w:w="37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interest rates</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105,289</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419,759</w:t>
            </w:r>
          </w:p>
        </w:tc>
        <w:tc>
          <w:tcPr>
            <w:tcW w:w="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2,411,500</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91,422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3,027,970</w:t>
            </w:r>
          </w:p>
        </w:tc>
        <w:tc>
          <w:tcPr>
            <w:tcW w:w="0" w:type="dxa"/>
            <w:vAlign w:val="bottom"/>
          </w:tcPr>
          <w:p>
            <w:pPr>
              <w:spacing w:after="0"/>
              <w:rPr>
                <w:sz w:val="1"/>
                <w:szCs w:val="1"/>
                <w:color w:val="auto"/>
              </w:rPr>
            </w:pPr>
          </w:p>
        </w:tc>
      </w:tr>
      <w:tr>
        <w:trPr>
          <w:trHeight w:val="295"/>
        </w:trPr>
        <w:tc>
          <w:tcPr>
            <w:tcW w:w="20" w:type="dxa"/>
            <w:vAlign w:val="bottom"/>
            <w:tcBorders>
              <w:bottom w:val="single" w:sz="8" w:color="CCEEFF"/>
            </w:tcBorders>
            <w:shd w:val="clear" w:color="auto" w:fill="CCEEFF"/>
          </w:tcPr>
          <w:p>
            <w:pPr>
              <w:spacing w:after="0"/>
              <w:rPr>
                <w:sz w:val="24"/>
                <w:szCs w:val="24"/>
                <w:color w:val="auto"/>
              </w:rPr>
            </w:pPr>
          </w:p>
        </w:tc>
        <w:tc>
          <w:tcPr>
            <w:tcW w:w="37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gross loans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760,796</w:t>
            </w: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3,080,950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4,077,019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3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loans:</w:t>
            </w: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61,145</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549,197</w:t>
            </w: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2,624,365</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3,305,713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construction</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49,478</w:t>
            </w: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32,749</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10,672</w:t>
            </w: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21,798</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Farmland</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12,829</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45,002</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59,606</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Secured</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61,105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104,323</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75,741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251,736</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Unsecured</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12,423</w:t>
            </w: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23,417</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Consumer and other</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17,931</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257,472</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275,475</w:t>
            </w:r>
          </w:p>
        </w:tc>
        <w:tc>
          <w:tcPr>
            <w:tcW w:w="0" w:type="dxa"/>
            <w:vAlign w:val="bottom"/>
          </w:tcPr>
          <w:p>
            <w:pPr>
              <w:spacing w:after="0"/>
              <w:rPr>
                <w:sz w:val="1"/>
                <w:szCs w:val="1"/>
                <w:color w:val="auto"/>
              </w:rPr>
            </w:pPr>
          </w:p>
        </w:tc>
      </w:tr>
      <w:tr>
        <w:trPr>
          <w:trHeight w:val="288"/>
        </w:trPr>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376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gross loans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139,868</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760,796</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3,080,950</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4,077,019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8"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Asset Quality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manage the quality of our loans based upon trends at the overall loan portfolio level, as well as within each product type. We measure and monitor key factors that include the level and trend of classified, delinquent, non-accrual, and nonperforming assets, collateral coverage, credit scores, and debt service coverage, where applicable. These metrics directly impact our evaluation of the adequacy of our allowance for credit losses.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primary objective is to maintain a high level of asset quality in our loan portfolio. We believe our underwriting policies and practices, executed by experienced professionals, appropriately govern the risk profile for our loan portfolio. These policies are continually evaluated and updated as necessary. All loans are assessed and assigned a risk classification at origination based on underlying characteristics of the transaction, such as collateral cash flow, collateral coverage, and borrower strength. We believe that we have a comprehensive methodology to proactively monitor our credit quality after the origination process. Particular emphasis is placed on our commercial portfolio, where risk assessments are reevaluated as a result of reviewing commercial property operating statements and borrower financials. On an ongoing basis, we also monitor payment performance, delinquencies, and tax and property insurance compliance. We design our practices to facilitate the early detection and remediation of problems within our loan portfolio. Assigned risk classifications are an integral part of management’s assessment of the adequacy of our allowance for credit losses. We periodically employ the use of an independent consulting firm to evaluate our underwriting and risk assessment process. Like other financial institutions, we are subject to the risk that our loan portfolio will be exposed to increasing pressures from deteriorating borrower credit due to general economic conditions and rising interest rates.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Nonperforming Assets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nonperforming assets consist of nonperforming loans and foreclosed real estate, if any. Nonperforming loans consist of non-accrual loans and loans contractually past due by 90 days or more and still accruing. Loans on which the accrual of interest has been discontinued are designated as non-accrual loans. Accrual of interest on loans is discontinued either when reasonable doubt exists as to the full and timely collection of interest or principal or when a loan becomes contractually past due by 90 days or more with respect to interest or principal. When a loan is placed on non-accrual status, all interest previously accrued, but not collected, is reversed against current period interest income. Income on such loans is then recognized only to the extent that cash is received and where the future collection of principal is probable. Interest accruals are resumed on such loans only when they are brought fully current with respect to interest and principal and when, in the judgment of management, the loans are estimated to be fully collectible as to both principal and interest.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SBA Loans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2026, the Company did not sell any SBA 7(a) loans.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color w:val="auto"/>
        </w:rPr>
        <w:t>Non-accrual Loans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17 provides details of our nonperforming and restructured assets and certain other related information as of the dates presented.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17: Nonperforming and Restructured Assets</w:t>
            </w: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98"/>
        </w:trPr>
        <w:tc>
          <w:tcPr>
            <w:tcW w:w="20" w:type="dxa"/>
            <w:vAlign w:val="bottom"/>
          </w:tcPr>
          <w:p>
            <w:pPr>
              <w:spacing w:after="0"/>
              <w:rPr>
                <w:sz w:val="24"/>
                <w:szCs w:val="24"/>
                <w:color w:val="auto"/>
              </w:rPr>
            </w:pPr>
          </w:p>
        </w:tc>
        <w:tc>
          <w:tcPr>
            <w:tcW w:w="3620" w:type="dxa"/>
            <w:vAlign w:val="bottom"/>
            <w:tcBorders>
              <w:top w:val="single" w:sz="8" w:color="auto"/>
            </w:tcBorders>
          </w:tcPr>
          <w:p>
            <w:pPr>
              <w:spacing w:after="0"/>
              <w:rPr>
                <w:sz w:val="24"/>
                <w:szCs w:val="24"/>
                <w:color w:val="auto"/>
              </w:rPr>
            </w:pP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80" w:type="dxa"/>
            <w:vAlign w:val="bottom"/>
            <w:tcBorders>
              <w:bottom w:val="single" w:sz="8" w:color="auto"/>
            </w:tcBorders>
          </w:tcPr>
          <w:p>
            <w:pPr>
              <w:spacing w:after="0"/>
              <w:rPr>
                <w:sz w:val="24"/>
                <w:szCs w:val="24"/>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6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63"/>
        </w:trPr>
        <w:tc>
          <w:tcPr>
            <w:tcW w:w="20" w:type="dxa"/>
            <w:vAlign w:val="bottom"/>
            <w:shd w:val="clear" w:color="auto" w:fill="CCEEFF"/>
          </w:tcPr>
          <w:p>
            <w:pPr>
              <w:spacing w:after="0"/>
              <w:rPr>
                <w:sz w:val="22"/>
                <w:szCs w:val="22"/>
                <w:color w:val="auto"/>
              </w:rPr>
            </w:pPr>
          </w:p>
        </w:tc>
        <w:tc>
          <w:tcPr>
            <w:tcW w:w="6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Non-accrual loans:</w:t>
            </w:r>
          </w:p>
        </w:tc>
        <w:tc>
          <w:tcPr>
            <w:tcW w:w="22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Real estate:</w:t>
            </w:r>
          </w:p>
        </w:tc>
        <w:tc>
          <w:tcPr>
            <w:tcW w:w="2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68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13,072</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2,666</w:t>
            </w:r>
          </w:p>
        </w:tc>
      </w:tr>
      <w:tr>
        <w:trPr>
          <w:trHeight w:val="263"/>
        </w:trPr>
        <w:tc>
          <w:tcPr>
            <w:tcW w:w="20" w:type="dxa"/>
            <w:vAlign w:val="bottom"/>
          </w:tcPr>
          <w:p>
            <w:pPr>
              <w:spacing w:after="0"/>
              <w:rPr>
                <w:sz w:val="22"/>
                <w:szCs w:val="22"/>
                <w:color w:val="auto"/>
              </w:rPr>
            </w:pP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70"/>
        </w:trPr>
        <w:tc>
          <w:tcPr>
            <w:tcW w:w="20" w:type="dxa"/>
            <w:vAlign w:val="bottom"/>
            <w:shd w:val="clear" w:color="auto" w:fill="CCEEFF"/>
          </w:tcPr>
          <w:p>
            <w:pPr>
              <w:spacing w:after="0"/>
              <w:rPr>
                <w:sz w:val="23"/>
                <w:szCs w:val="23"/>
                <w:color w:val="auto"/>
              </w:rPr>
            </w:pPr>
          </w:p>
        </w:tc>
        <w:tc>
          <w:tcPr>
            <w:tcW w:w="68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Secured</w:t>
            </w:r>
          </w:p>
        </w:tc>
        <w:tc>
          <w:tcPr>
            <w:tcW w:w="220" w:type="dxa"/>
            <w:vAlign w:val="bottom"/>
            <w:tcBorders>
              <w:bottom w:val="single" w:sz="8" w:color="auto"/>
            </w:tcBorders>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430</w:t>
            </w:r>
          </w:p>
        </w:tc>
      </w:tr>
      <w:tr>
        <w:trPr>
          <w:trHeight w:val="263"/>
        </w:trPr>
        <w:tc>
          <w:tcPr>
            <w:tcW w:w="20" w:type="dxa"/>
            <w:vAlign w:val="bottom"/>
            <w:tcBorders>
              <w:bottom w:val="single" w:sz="8" w:color="CCEEFF"/>
            </w:tcBorders>
          </w:tcPr>
          <w:p>
            <w:pPr>
              <w:spacing w:after="0"/>
              <w:rPr>
                <w:sz w:val="22"/>
                <w:szCs w:val="22"/>
                <w:color w:val="auto"/>
              </w:rPr>
            </w:pPr>
          </w:p>
        </w:tc>
        <w:tc>
          <w:tcPr>
            <w:tcW w:w="6860" w:type="dxa"/>
            <w:vAlign w:val="bottom"/>
            <w:tcBorders>
              <w:bottom w:val="single" w:sz="8" w:color="CCEEFF"/>
            </w:tcBorders>
            <w:gridSpan w:val="3"/>
          </w:tcPr>
          <w:p>
            <w:pPr>
              <w:ind w:left="540"/>
              <w:spacing w:after="0"/>
              <w:rPr>
                <w:sz w:val="20"/>
                <w:szCs w:val="20"/>
                <w:color w:val="auto"/>
              </w:rPr>
            </w:pPr>
            <w:r>
              <w:rPr>
                <w:rFonts w:ascii="Times New Roman" w:cs="Times New Roman" w:eastAsia="Times New Roman" w:hAnsi="Times New Roman"/>
                <w:sz w:val="18"/>
                <w:szCs w:val="18"/>
                <w:color w:val="auto"/>
              </w:rPr>
              <w:t>Total non-accrual loans</w:t>
            </w:r>
          </w:p>
        </w:tc>
        <w:tc>
          <w:tcPr>
            <w:tcW w:w="2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13,295</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3,096</w:t>
            </w:r>
          </w:p>
        </w:tc>
      </w:tr>
      <w:tr>
        <w:trPr>
          <w:trHeight w:val="135"/>
        </w:trPr>
        <w:tc>
          <w:tcPr>
            <w:tcW w:w="2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rPr>
                <w:sz w:val="11"/>
                <w:szCs w:val="11"/>
                <w:color w:val="auto"/>
              </w:rPr>
            </w:pPr>
          </w:p>
        </w:tc>
        <w:tc>
          <w:tcPr>
            <w:tcW w:w="3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r>
      <w:tr>
        <w:trPr>
          <w:trHeight w:val="263"/>
        </w:trPr>
        <w:tc>
          <w:tcPr>
            <w:tcW w:w="20" w:type="dxa"/>
            <w:vAlign w:val="bottom"/>
            <w:tcBorders>
              <w:bottom w:val="single" w:sz="8" w:color="CCEEFF"/>
            </w:tcBorders>
          </w:tcPr>
          <w:p>
            <w:pPr>
              <w:spacing w:after="0"/>
              <w:rPr>
                <w:sz w:val="22"/>
                <w:szCs w:val="22"/>
                <w:color w:val="auto"/>
              </w:rPr>
            </w:pPr>
          </w:p>
        </w:tc>
        <w:tc>
          <w:tcPr>
            <w:tcW w:w="68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Loans past due 90 days or more and still accruing:</w:t>
            </w:r>
          </w:p>
        </w:tc>
        <w:tc>
          <w:tcPr>
            <w:tcW w:w="2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r>
      <w:tr>
        <w:trPr>
          <w:trHeight w:val="264"/>
        </w:trPr>
        <w:tc>
          <w:tcPr>
            <w:tcW w:w="20" w:type="dxa"/>
            <w:vAlign w:val="bottom"/>
            <w:shd w:val="clear" w:color="auto" w:fill="CCEEFF"/>
          </w:tcPr>
          <w:p>
            <w:pPr>
              <w:spacing w:after="0"/>
              <w:rPr>
                <w:sz w:val="22"/>
                <w:szCs w:val="22"/>
                <w:color w:val="auto"/>
              </w:rPr>
            </w:pPr>
          </w:p>
        </w:tc>
        <w:tc>
          <w:tcPr>
            <w:tcW w:w="68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loans past due and still accruing</w:t>
            </w:r>
          </w:p>
        </w:tc>
        <w:tc>
          <w:tcPr>
            <w:tcW w:w="220" w:type="dxa"/>
            <w:vAlign w:val="bottom"/>
            <w:shd w:val="clear" w:color="auto" w:fill="CCEEFF"/>
          </w:tcPr>
          <w:p>
            <w:pPr>
              <w:spacing w:after="0"/>
              <w:rPr>
                <w:sz w:val="22"/>
                <w:szCs w:val="22"/>
                <w:color w:val="auto"/>
              </w:rPr>
            </w:pPr>
          </w:p>
        </w:tc>
        <w:tc>
          <w:tcPr>
            <w:tcW w:w="2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20" w:type="dxa"/>
            <w:vAlign w:val="bottom"/>
            <w:tcBorders>
              <w:bottom w:val="single" w:sz="8" w:color="CCEEFF"/>
            </w:tcBorders>
          </w:tcPr>
          <w:p>
            <w:pPr>
              <w:spacing w:after="0"/>
              <w:rPr>
                <w:sz w:val="22"/>
                <w:szCs w:val="22"/>
                <w:color w:val="auto"/>
              </w:rPr>
            </w:pPr>
          </w:p>
        </w:tc>
        <w:tc>
          <w:tcPr>
            <w:tcW w:w="6860" w:type="dxa"/>
            <w:vAlign w:val="bottom"/>
            <w:tcBorders>
              <w:bottom w:val="single" w:sz="8" w:color="CCEEFF"/>
            </w:tcBorders>
            <w:gridSpan w:val="3"/>
          </w:tcPr>
          <w:p>
            <w:pPr>
              <w:ind w:left="540"/>
              <w:spacing w:after="0"/>
              <w:rPr>
                <w:sz w:val="20"/>
                <w:szCs w:val="20"/>
                <w:color w:val="auto"/>
              </w:rPr>
            </w:pPr>
            <w:r>
              <w:rPr>
                <w:rFonts w:ascii="Times New Roman" w:cs="Times New Roman" w:eastAsia="Times New Roman" w:hAnsi="Times New Roman"/>
                <w:sz w:val="18"/>
                <w:szCs w:val="18"/>
                <w:color w:val="auto"/>
              </w:rPr>
              <w:t>Total nonperforming loans</w:t>
            </w:r>
          </w:p>
        </w:tc>
        <w:tc>
          <w:tcPr>
            <w:tcW w:w="220" w:type="dxa"/>
            <w:vAlign w:val="bottom"/>
            <w:tcBorders>
              <w:top w:val="single" w:sz="8" w:color="auto"/>
              <w:bottom w:val="single" w:sz="8" w:color="auto"/>
            </w:tcBorders>
          </w:tcPr>
          <w:p>
            <w:pPr>
              <w:spacing w:after="0"/>
              <w:rPr>
                <w:sz w:val="22"/>
                <w:szCs w:val="22"/>
                <w:color w:val="auto"/>
              </w:rPr>
            </w:pPr>
          </w:p>
        </w:tc>
        <w:tc>
          <w:tcPr>
            <w:tcW w:w="19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13,295</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8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3,096</w:t>
            </w:r>
          </w:p>
        </w:tc>
      </w:tr>
      <w:tr>
        <w:trPr>
          <w:trHeight w:val="135"/>
        </w:trPr>
        <w:tc>
          <w:tcPr>
            <w:tcW w:w="2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rPr>
                <w:sz w:val="11"/>
                <w:szCs w:val="11"/>
                <w:color w:val="auto"/>
              </w:rPr>
            </w:pPr>
          </w:p>
        </w:tc>
        <w:tc>
          <w:tcPr>
            <w:tcW w:w="3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r>
      <w:tr>
        <w:trPr>
          <w:trHeight w:val="263"/>
        </w:trPr>
        <w:tc>
          <w:tcPr>
            <w:tcW w:w="20" w:type="dxa"/>
            <w:vAlign w:val="bottom"/>
          </w:tcPr>
          <w:p>
            <w:pPr>
              <w:spacing w:after="0"/>
              <w:rPr>
                <w:sz w:val="22"/>
                <w:szCs w:val="22"/>
                <w:color w:val="auto"/>
              </w:rPr>
            </w:pPr>
          </w:p>
        </w:tc>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 owned</w:t>
            </w:r>
          </w:p>
        </w:tc>
        <w:tc>
          <w:tcPr>
            <w:tcW w:w="220" w:type="dxa"/>
            <w:vAlign w:val="bottom"/>
          </w:tcPr>
          <w:p>
            <w:pPr>
              <w:spacing w:after="0"/>
              <w:rPr>
                <w:sz w:val="22"/>
                <w:szCs w:val="22"/>
                <w:color w:val="auto"/>
              </w:rPr>
            </w:pPr>
          </w:p>
        </w:tc>
        <w:tc>
          <w:tcPr>
            <w:tcW w:w="2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95"/>
        </w:trPr>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6860" w:type="dxa"/>
            <w:vAlign w:val="bottom"/>
            <w:tcBorders>
              <w:top w:val="single" w:sz="8" w:color="CCEEFF"/>
              <w:bottom w:val="single" w:sz="8" w:color="CCEEFF"/>
            </w:tcBorders>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13,295</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3,096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80" w:type="dxa"/>
            <w:vAlign w:val="bottom"/>
          </w:tcPr>
          <w:p>
            <w:pPr>
              <w:spacing w:after="0"/>
              <w:rPr>
                <w:sz w:val="8"/>
                <w:szCs w:val="8"/>
                <w:color w:val="auto"/>
              </w:rPr>
            </w:pPr>
          </w:p>
        </w:tc>
      </w:tr>
      <w:tr>
        <w:trPr>
          <w:trHeight w:val="270"/>
        </w:trPr>
        <w:tc>
          <w:tcPr>
            <w:tcW w:w="20" w:type="dxa"/>
            <w:vAlign w:val="bottom"/>
            <w:shd w:val="clear" w:color="auto" w:fill="CCEEFF"/>
          </w:tcPr>
          <w:p>
            <w:pPr>
              <w:spacing w:after="0"/>
              <w:rPr>
                <w:sz w:val="23"/>
                <w:szCs w:val="23"/>
                <w:color w:val="auto"/>
              </w:rPr>
            </w:pPr>
          </w:p>
        </w:tc>
        <w:tc>
          <w:tcPr>
            <w:tcW w:w="6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 loan modifications (“LMs”) (not included above)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48"/>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80" w:type="dxa"/>
            <w:vAlign w:val="bottom"/>
          </w:tcPr>
          <w:p>
            <w:pPr>
              <w:spacing w:after="0"/>
              <w:rPr>
                <w:sz w:val="12"/>
                <w:szCs w:val="12"/>
                <w:color w:val="auto"/>
              </w:rPr>
            </w:pPr>
          </w:p>
        </w:tc>
      </w:tr>
      <w:tr>
        <w:trPr>
          <w:trHeight w:val="270"/>
        </w:trPr>
        <w:tc>
          <w:tcPr>
            <w:tcW w:w="20" w:type="dxa"/>
            <w:vAlign w:val="bottom"/>
            <w:shd w:val="clear" w:color="auto" w:fill="CCEEFF"/>
          </w:tcPr>
          <w:p>
            <w:pPr>
              <w:spacing w:after="0"/>
              <w:rPr>
                <w:sz w:val="23"/>
                <w:szCs w:val="23"/>
                <w:color w:val="auto"/>
              </w:rPr>
            </w:pPr>
          </w:p>
        </w:tc>
        <w:tc>
          <w:tcPr>
            <w:tcW w:w="6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 to period end nonperforming loans</w:t>
            </w:r>
          </w:p>
        </w:tc>
        <w:tc>
          <w:tcPr>
            <w:tcW w:w="220" w:type="dxa"/>
            <w:vAlign w:val="bottom"/>
            <w:shd w:val="clear" w:color="auto" w:fill="CCEEFF"/>
          </w:tcPr>
          <w:p>
            <w:pPr>
              <w:spacing w:after="0"/>
              <w:rPr>
                <w:sz w:val="23"/>
                <w:szCs w:val="23"/>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371.49 %</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1,434.40 %</w:t>
            </w:r>
          </w:p>
        </w:tc>
      </w:tr>
      <w:tr>
        <w:trPr>
          <w:trHeight w:val="270"/>
        </w:trPr>
        <w:tc>
          <w:tcPr>
            <w:tcW w:w="20" w:type="dxa"/>
            <w:vAlign w:val="bottom"/>
          </w:tcPr>
          <w:p>
            <w:pPr>
              <w:spacing w:after="0"/>
              <w:rPr>
                <w:sz w:val="23"/>
                <w:szCs w:val="23"/>
                <w:color w:val="auto"/>
              </w:rPr>
            </w:pPr>
          </w:p>
        </w:tc>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Nonperforming loans to loans held for investment</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0.28 %</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0.08 %</w:t>
            </w:r>
          </w:p>
        </w:tc>
      </w:tr>
      <w:tr>
        <w:trPr>
          <w:trHeight w:val="270"/>
        </w:trPr>
        <w:tc>
          <w:tcPr>
            <w:tcW w:w="20" w:type="dxa"/>
            <w:vAlign w:val="bottom"/>
            <w:shd w:val="clear" w:color="auto" w:fill="CCEEFF"/>
          </w:tcPr>
          <w:p>
            <w:pPr>
              <w:spacing w:after="0"/>
              <w:rPr>
                <w:sz w:val="23"/>
                <w:szCs w:val="23"/>
                <w:color w:val="auto"/>
              </w:rPr>
            </w:pPr>
          </w:p>
        </w:tc>
        <w:tc>
          <w:tcPr>
            <w:tcW w:w="6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220" w:type="dxa"/>
            <w:vAlign w:val="bottom"/>
            <w:shd w:val="clear" w:color="auto" w:fill="CCEEFF"/>
          </w:tcPr>
          <w:p>
            <w:pPr>
              <w:spacing w:after="0"/>
              <w:rPr>
                <w:sz w:val="23"/>
                <w:szCs w:val="23"/>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0.24 %</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0.07 %</w:t>
            </w:r>
          </w:p>
        </w:tc>
      </w:tr>
      <w:tr>
        <w:trPr>
          <w:trHeight w:val="257"/>
        </w:trPr>
        <w:tc>
          <w:tcPr>
            <w:tcW w:w="20" w:type="dxa"/>
            <w:vAlign w:val="bottom"/>
          </w:tcPr>
          <w:p>
            <w:pPr>
              <w:spacing w:after="0"/>
              <w:rPr>
                <w:sz w:val="22"/>
                <w:szCs w:val="22"/>
                <w:color w:val="auto"/>
              </w:rPr>
            </w:pPr>
          </w:p>
        </w:tc>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Nonperforming loans plus performing LMs to loans held for investment</w:t>
            </w:r>
          </w:p>
        </w:tc>
        <w:tc>
          <w:tcPr>
            <w:tcW w:w="22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0.28 %</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0.08 %</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ratio of nonperforming loans to loans held for investment was 0.28% at September 30, 2026, as compared to 0.08% at December 31, 2025.</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ratio of the allowance for credit losses to period end nonperforming loans decreased from 1,434.40% as of December 31, 2025 to 371.49% as of September 30, 2026. This decrease was related to one Community Reinvestment Act loan that was placed on non-accrual status during the three months ended June 30, 2026. The balance of the loan is $11.4 million as of September 30, 2026, and it was originally downgraded to substandard in 2025. This was partially offset by improvements across the remainder of the nonperforming loan portfolio.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Problem Loans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utilize a risk grading system for our loans to aid us in evaluating the overall credit quality of our real estate loan portfolio and assessing the adequacy of our allowance for credit losses. All loans are grouped into a risk category at the time of origination. Commercial real estate loans over $2.0 million are reevaluated at least annually for proper classification in conjunction with our review of property and borrower financial information. All loans are reevaluated for proper risk grading as new information such as payment patterns, collateral condition, and other relevant information comes to our attention.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63" w:name="page64"/>
    <w:bookmarkEnd w:id="63"/>
    <w:p>
      <w:pPr>
        <w:jc w:val="both"/>
        <w:spacing w:after="0" w:line="282" w:lineRule="auto"/>
        <w:rPr>
          <w:sz w:val="20"/>
          <w:szCs w:val="20"/>
          <w:color w:val="auto"/>
        </w:rPr>
      </w:pPr>
      <w:r>
        <w:rPr>
          <w:rFonts w:ascii="Times New Roman" w:cs="Times New Roman" w:eastAsia="Times New Roman" w:hAnsi="Times New Roman"/>
          <w:sz w:val="18"/>
          <w:szCs w:val="18"/>
          <w:color w:val="auto"/>
        </w:rPr>
        <w:t>Loans designated as “watch” or “special mention” are internal bank designations and are not considered adversely classified. However, loans designated as “substandard” or “doubtful” are considered adversely classified. Table 18 shows loans by credit quality risk rating as of the periods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Table 18: Gross Loans Held for Investment by Credit Quality Risk Rating</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91"/>
        </w:trPr>
        <w:tc>
          <w:tcPr>
            <w:tcW w:w="20" w:type="dxa"/>
            <w:vAlign w:val="bottom"/>
            <w:tcBorders>
              <w:bottom w:val="single" w:sz="8" w:color="auto"/>
            </w:tcBorders>
          </w:tcPr>
          <w:p>
            <w:pPr>
              <w:spacing w:after="0"/>
              <w:rPr>
                <w:sz w:val="24"/>
                <w:szCs w:val="24"/>
                <w:color w:val="auto"/>
              </w:rPr>
            </w:pPr>
          </w:p>
        </w:tc>
        <w:tc>
          <w:tcPr>
            <w:tcW w:w="2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top w:val="single" w:sz="8" w:color="auto"/>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Pass</w:t>
            </w:r>
          </w:p>
        </w:tc>
        <w:tc>
          <w:tcPr>
            <w:tcW w:w="100" w:type="dxa"/>
            <w:vAlign w:val="bottom"/>
            <w:tcBorders>
              <w:top w:val="single" w:sz="8" w:color="auto"/>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Watch</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Special Mention</w:t>
            </w: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Substandard</w:t>
            </w: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Doubtful</w:t>
            </w: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3"/>
        </w:trPr>
        <w:tc>
          <w:tcPr>
            <w:tcW w:w="20" w:type="dxa"/>
            <w:vAlign w:val="bottom"/>
            <w:shd w:val="clear" w:color="auto" w:fill="CCEEFF"/>
          </w:tcPr>
          <w:p>
            <w:pPr>
              <w:spacing w:after="0"/>
              <w:rPr>
                <w:sz w:val="22"/>
                <w:szCs w:val="22"/>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2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3,477,922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143,909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38,032</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19,061</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3,678,924</w:t>
            </w:r>
          </w:p>
        </w:tc>
      </w:tr>
      <w:tr>
        <w:trPr>
          <w:trHeight w:val="225"/>
        </w:trPr>
        <w:tc>
          <w:tcPr>
            <w:tcW w:w="20" w:type="dxa"/>
            <w:vAlign w:val="bottom"/>
          </w:tcPr>
          <w:p>
            <w:pPr>
              <w:spacing w:after="0"/>
              <w:rPr>
                <w:sz w:val="19"/>
                <w:szCs w:val="19"/>
                <w:color w:val="auto"/>
              </w:rPr>
            </w:pPr>
          </w:p>
        </w:tc>
        <w:tc>
          <w:tcPr>
            <w:tcW w:w="2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 land and</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2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development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r>
      <w:tr>
        <w:trPr>
          <w:trHeight w:val="270"/>
        </w:trPr>
        <w:tc>
          <w:tcPr>
            <w:tcW w:w="20" w:type="dxa"/>
            <w:vAlign w:val="bottom"/>
            <w:shd w:val="clear" w:color="auto" w:fill="CCEEFF"/>
          </w:tcPr>
          <w:p>
            <w:pPr>
              <w:spacing w:after="0"/>
              <w:rPr>
                <w:sz w:val="23"/>
                <w:szCs w:val="23"/>
                <w:color w:val="auto"/>
              </w:rPr>
            </w:pPr>
          </w:p>
        </w:tc>
        <w:tc>
          <w:tcPr>
            <w:tcW w:w="2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122,561</w:t>
            </w:r>
          </w:p>
        </w:tc>
      </w:tr>
      <w:tr>
        <w:trPr>
          <w:trHeight w:val="270"/>
        </w:trPr>
        <w:tc>
          <w:tcPr>
            <w:tcW w:w="20" w:type="dxa"/>
            <w:vAlign w:val="bottom"/>
          </w:tcPr>
          <w:p>
            <w:pPr>
              <w:spacing w:after="0"/>
              <w:rPr>
                <w:sz w:val="23"/>
                <w:szCs w:val="23"/>
                <w:color w:val="auto"/>
              </w:rPr>
            </w:pPr>
          </w:p>
        </w:tc>
        <w:tc>
          <w:tcPr>
            <w:tcW w:w="2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25,569</w:t>
            </w:r>
          </w:p>
        </w:tc>
      </w:tr>
      <w:tr>
        <w:trPr>
          <w:trHeight w:val="270"/>
        </w:trPr>
        <w:tc>
          <w:tcPr>
            <w:tcW w:w="20" w:type="dxa"/>
            <w:vAlign w:val="bottom"/>
            <w:shd w:val="clear" w:color="auto" w:fill="CCEEFF"/>
          </w:tcPr>
          <w:p>
            <w:pPr>
              <w:spacing w:after="0"/>
              <w:rPr>
                <w:sz w:val="23"/>
                <w:szCs w:val="23"/>
                <w:color w:val="auto"/>
              </w:rPr>
            </w:pPr>
          </w:p>
        </w:tc>
        <w:tc>
          <w:tcPr>
            <w:tcW w:w="2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41,530</w:t>
            </w:r>
          </w:p>
        </w:tc>
      </w:tr>
      <w:tr>
        <w:trPr>
          <w:trHeight w:val="270"/>
        </w:trPr>
        <w:tc>
          <w:tcPr>
            <w:tcW w:w="20" w:type="dxa"/>
            <w:vAlign w:val="bottom"/>
          </w:tcPr>
          <w:p>
            <w:pPr>
              <w:spacing w:after="0"/>
              <w:rPr>
                <w:sz w:val="23"/>
                <w:szCs w:val="23"/>
                <w:color w:val="auto"/>
              </w:rPr>
            </w:pPr>
          </w:p>
        </w:tc>
        <w:tc>
          <w:tcPr>
            <w:tcW w:w="2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57,027</w:t>
            </w:r>
          </w:p>
        </w:tc>
      </w:tr>
      <w:tr>
        <w:trPr>
          <w:trHeight w:val="270"/>
        </w:trPr>
        <w:tc>
          <w:tcPr>
            <w:tcW w:w="20" w:type="dxa"/>
            <w:vAlign w:val="bottom"/>
            <w:shd w:val="clear" w:color="auto" w:fill="CCEEFF"/>
          </w:tcPr>
          <w:p>
            <w:pPr>
              <w:spacing w:after="0"/>
              <w:rPr>
                <w:sz w:val="23"/>
                <w:szCs w:val="23"/>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2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2,671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313,600</w:t>
            </w:r>
          </w:p>
        </w:tc>
      </w:tr>
      <w:tr>
        <w:trPr>
          <w:trHeight w:val="270"/>
        </w:trPr>
        <w:tc>
          <w:tcPr>
            <w:tcW w:w="20" w:type="dxa"/>
            <w:vAlign w:val="bottom"/>
            <w:shd w:val="clear" w:color="auto" w:fill="CCEEFF"/>
          </w:tcPr>
          <w:p>
            <w:pPr>
              <w:spacing w:after="0"/>
              <w:rPr>
                <w:sz w:val="23"/>
                <w:szCs w:val="23"/>
                <w:color w:val="auto"/>
              </w:rPr>
            </w:pPr>
          </w:p>
        </w:tc>
        <w:tc>
          <w:tcPr>
            <w:tcW w:w="2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39,164</w:t>
            </w:r>
          </w:p>
        </w:tc>
      </w:tr>
      <w:tr>
        <w:trPr>
          <w:trHeight w:val="270"/>
        </w:trPr>
        <w:tc>
          <w:tcPr>
            <w:tcW w:w="20" w:type="dxa"/>
            <w:vAlign w:val="bottom"/>
            <w:tcBorders>
              <w:bottom w:val="single" w:sz="8" w:color="CCEEFF"/>
            </w:tcBorders>
          </w:tcPr>
          <w:p>
            <w:pPr>
              <w:spacing w:after="0"/>
              <w:rPr>
                <w:sz w:val="23"/>
                <w:szCs w:val="23"/>
                <w:color w:val="auto"/>
              </w:rPr>
            </w:pPr>
          </w:p>
        </w:tc>
        <w:tc>
          <w:tcPr>
            <w:tcW w:w="2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425,528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425,531</w:t>
            </w:r>
          </w:p>
        </w:tc>
      </w:tr>
      <w:tr>
        <w:trPr>
          <w:trHeight w:val="284"/>
        </w:trPr>
        <w:tc>
          <w:tcPr>
            <w:tcW w:w="20" w:type="dxa"/>
            <w:vAlign w:val="bottom"/>
            <w:shd w:val="clear" w:color="auto" w:fill="CCEEFF"/>
          </w:tcPr>
          <w:p>
            <w:pPr>
              <w:spacing w:after="0"/>
              <w:rPr>
                <w:sz w:val="24"/>
                <w:szCs w:val="24"/>
                <w:color w:val="auto"/>
              </w:rPr>
            </w:pPr>
          </w:p>
        </w:tc>
        <w:tc>
          <w:tcPr>
            <w:tcW w:w="2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4,490,670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147,152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48,500</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20,071</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4,706,393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70"/>
        </w:trPr>
        <w:tc>
          <w:tcPr>
            <w:tcW w:w="20" w:type="dxa"/>
            <w:vAlign w:val="bottom"/>
            <w:shd w:val="clear" w:color="auto" w:fill="CCEEFF"/>
          </w:tcPr>
          <w:p>
            <w:pPr>
              <w:spacing w:after="0"/>
              <w:rPr>
                <w:sz w:val="23"/>
                <w:szCs w:val="23"/>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2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3,173,099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76,118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35,124</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21,372</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3,305,713</w:t>
            </w:r>
          </w:p>
        </w:tc>
      </w:tr>
      <w:tr>
        <w:trPr>
          <w:trHeight w:val="225"/>
        </w:trPr>
        <w:tc>
          <w:tcPr>
            <w:tcW w:w="20" w:type="dxa"/>
            <w:vAlign w:val="bottom"/>
          </w:tcPr>
          <w:p>
            <w:pPr>
              <w:spacing w:after="0"/>
              <w:rPr>
                <w:sz w:val="19"/>
                <w:szCs w:val="19"/>
                <w:color w:val="auto"/>
              </w:rPr>
            </w:pPr>
          </w:p>
        </w:tc>
        <w:tc>
          <w:tcPr>
            <w:tcW w:w="2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 land and</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2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development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r>
      <w:tr>
        <w:trPr>
          <w:trHeight w:val="277"/>
        </w:trPr>
        <w:tc>
          <w:tcPr>
            <w:tcW w:w="20" w:type="dxa"/>
            <w:vAlign w:val="bottom"/>
            <w:shd w:val="clear" w:color="auto" w:fill="CCEEFF"/>
          </w:tcPr>
          <w:p>
            <w:pPr>
              <w:spacing w:after="0"/>
              <w:rPr>
                <w:sz w:val="24"/>
                <w:szCs w:val="24"/>
                <w:color w:val="auto"/>
              </w:rPr>
            </w:pPr>
          </w:p>
        </w:tc>
        <w:tc>
          <w:tcPr>
            <w:tcW w:w="2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construction</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81,840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14,920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96,760</w:t>
            </w:r>
          </w:p>
        </w:tc>
      </w:tr>
      <w:tr>
        <w:trPr>
          <w:trHeight w:val="263"/>
        </w:trPr>
        <w:tc>
          <w:tcPr>
            <w:tcW w:w="20" w:type="dxa"/>
            <w:vAlign w:val="bottom"/>
          </w:tcPr>
          <w:p>
            <w:pPr>
              <w:spacing w:after="0"/>
              <w:rPr>
                <w:sz w:val="22"/>
                <w:szCs w:val="22"/>
                <w:color w:val="auto"/>
              </w:rPr>
            </w:pPr>
          </w:p>
        </w:tc>
        <w:tc>
          <w:tcPr>
            <w:tcW w:w="2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w:t>
            </w:r>
          </w:p>
        </w:tc>
      </w:tr>
      <w:tr>
        <w:trPr>
          <w:trHeight w:val="277"/>
        </w:trPr>
        <w:tc>
          <w:tcPr>
            <w:tcW w:w="20" w:type="dxa"/>
            <w:vAlign w:val="bottom"/>
            <w:shd w:val="clear" w:color="auto" w:fill="CCEEFF"/>
          </w:tcPr>
          <w:p>
            <w:pPr>
              <w:spacing w:after="0"/>
              <w:rPr>
                <w:sz w:val="24"/>
                <w:szCs w:val="24"/>
                <w:color w:val="auto"/>
              </w:rPr>
            </w:pPr>
          </w:p>
        </w:tc>
        <w:tc>
          <w:tcPr>
            <w:tcW w:w="2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37,566</w:t>
            </w:r>
          </w:p>
        </w:tc>
      </w:tr>
      <w:tr>
        <w:trPr>
          <w:trHeight w:val="263"/>
        </w:trPr>
        <w:tc>
          <w:tcPr>
            <w:tcW w:w="20" w:type="dxa"/>
            <w:vAlign w:val="bottom"/>
          </w:tcPr>
          <w:p>
            <w:pPr>
              <w:spacing w:after="0"/>
              <w:rPr>
                <w:sz w:val="22"/>
                <w:szCs w:val="22"/>
                <w:color w:val="auto"/>
              </w:rPr>
            </w:pPr>
          </w:p>
        </w:tc>
        <w:tc>
          <w:tcPr>
            <w:tcW w:w="2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Farmland</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59,606</w:t>
            </w:r>
          </w:p>
        </w:tc>
      </w:tr>
      <w:tr>
        <w:trPr>
          <w:trHeight w:val="277"/>
        </w:trPr>
        <w:tc>
          <w:tcPr>
            <w:tcW w:w="20" w:type="dxa"/>
            <w:vAlign w:val="bottom"/>
            <w:shd w:val="clear" w:color="auto" w:fill="CCEEFF"/>
          </w:tcPr>
          <w:p>
            <w:pPr>
              <w:spacing w:after="0"/>
              <w:rPr>
                <w:sz w:val="24"/>
                <w:szCs w:val="24"/>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Secured</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238,605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10,272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251,736</w:t>
            </w:r>
          </w:p>
        </w:tc>
      </w:tr>
      <w:tr>
        <w:trPr>
          <w:trHeight w:val="270"/>
        </w:trPr>
        <w:tc>
          <w:tcPr>
            <w:tcW w:w="20" w:type="dxa"/>
            <w:vAlign w:val="bottom"/>
            <w:shd w:val="clear" w:color="auto" w:fill="CCEEFF"/>
          </w:tcPr>
          <w:p>
            <w:pPr>
              <w:spacing w:after="0"/>
              <w:rPr>
                <w:sz w:val="23"/>
                <w:szCs w:val="23"/>
                <w:color w:val="auto"/>
              </w:rPr>
            </w:pPr>
          </w:p>
        </w:tc>
        <w:tc>
          <w:tcPr>
            <w:tcW w:w="2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Unsecured</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40,422</w:t>
            </w:r>
          </w:p>
        </w:tc>
      </w:tr>
      <w:tr>
        <w:trPr>
          <w:trHeight w:val="270"/>
        </w:trPr>
        <w:tc>
          <w:tcPr>
            <w:tcW w:w="20" w:type="dxa"/>
            <w:vAlign w:val="bottom"/>
            <w:tcBorders>
              <w:bottom w:val="single" w:sz="8" w:color="CCEEFF"/>
            </w:tcBorders>
          </w:tcPr>
          <w:p>
            <w:pPr>
              <w:spacing w:after="0"/>
              <w:rPr>
                <w:sz w:val="23"/>
                <w:szCs w:val="23"/>
                <w:color w:val="auto"/>
              </w:rPr>
            </w:pPr>
          </w:p>
        </w:tc>
        <w:tc>
          <w:tcPr>
            <w:tcW w:w="2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Consumer and other</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275,469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275,475</w:t>
            </w:r>
          </w:p>
        </w:tc>
      </w:tr>
      <w:tr>
        <w:trPr>
          <w:trHeight w:val="284"/>
        </w:trPr>
        <w:tc>
          <w:tcPr>
            <w:tcW w:w="20" w:type="dxa"/>
            <w:vAlign w:val="bottom"/>
            <w:shd w:val="clear" w:color="auto" w:fill="CCEEFF"/>
          </w:tcPr>
          <w:p>
            <w:pPr>
              <w:spacing w:after="0"/>
              <w:rPr>
                <w:sz w:val="24"/>
                <w:szCs w:val="24"/>
                <w:color w:val="auto"/>
              </w:rPr>
            </w:pPr>
          </w:p>
        </w:tc>
        <w:tc>
          <w:tcPr>
            <w:tcW w:w="2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3,915,263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101,895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37,530</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22,331</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4,077,019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Loans designated as watch, special mention, and substandard increased to $215.7 million at September 30, 2026 from $161.8 million at December 31, 2025. There were no loans with doubtful risk grades at September 30, 2026 or December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credit losses is established through a provision for credit losses charged to operations. Loans are charged off against the allowance for credit losses when management believes that the collectability of the principal is unlikely. Subsequent recoveries of previously charged-off amounts, if any, are credited to the allowance for credit losses.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credit losses is evaluated on a regular basis by management and is based on management’s periodic review of the collectability of the loans in light of historical experience, the nature and volume of the loan portfolio, adverse situations that may affect the borrower’s ability to repay, estimated value of any underlying collateral, and prevailing economic conditions. Historical loss rates within the commercial secured pool are also evaluated by</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64" w:name="page65"/>
    <w:bookmarkEnd w:id="64"/>
    <w:p>
      <w:pPr>
        <w:jc w:val="both"/>
        <w:spacing w:after="0" w:line="282" w:lineRule="auto"/>
        <w:rPr>
          <w:sz w:val="20"/>
          <w:szCs w:val="20"/>
          <w:color w:val="auto"/>
        </w:rPr>
      </w:pPr>
      <w:r>
        <w:rPr>
          <w:rFonts w:ascii="Times New Roman" w:cs="Times New Roman" w:eastAsia="Times New Roman" w:hAnsi="Times New Roman"/>
          <w:sz w:val="18"/>
          <w:szCs w:val="18"/>
          <w:color w:val="auto"/>
        </w:rPr>
        <w:t>management on a regular basis to estimate the allowance for credit losses. This evaluation is inherently subjective, as it requires estimates that are susceptible to significant revision as more information becomes available.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2026, the Company’s allowance for credit losses was $49.4 million, as compared to $44.4 million at December 31, 2025. The $5.0 million increase in the allowance is due to a $7.3 million provision for credit losses (excluding a $0.2 million provision for unfunded commitments) recorded during the nine months ended September 30, 2026, partially offset by net charge-offs of $2.3 million, primarily attributable to commercial and industrial loans, during the same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entire allowance for credit losses is available to absorb losses from any and all loans, Table 19 represents management’s allocation of our allowance for credit losses by loan category, the allocation of our allowance for credit losses as a percent of the total allowance for credit losses, and the balance of loans in each category as a percentage of total loans,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19: Allocation of the Allowance for Credit Losses</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525"/>
        </w:trPr>
        <w:tc>
          <w:tcPr>
            <w:tcW w:w="20" w:type="dxa"/>
            <w:vAlign w:val="bottom"/>
          </w:tcPr>
          <w:p>
            <w:pPr>
              <w:spacing w:after="0"/>
              <w:rPr>
                <w:sz w:val="24"/>
                <w:szCs w:val="24"/>
                <w:color w:val="auto"/>
              </w:rPr>
            </w:pPr>
          </w:p>
        </w:tc>
        <w:tc>
          <w:tcPr>
            <w:tcW w:w="406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Allowance for Credit</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 of Allowance for</w:t>
            </w:r>
          </w:p>
        </w:tc>
        <w:tc>
          <w:tcPr>
            <w:tcW w:w="19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of Loans to Total</w:t>
            </w:r>
          </w:p>
        </w:tc>
      </w:tr>
      <w:tr>
        <w:trPr>
          <w:trHeight w:val="252"/>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Pr>
          <w:p>
            <w:pPr>
              <w:spacing w:after="0"/>
              <w:rPr>
                <w:sz w:val="21"/>
                <w:szCs w:val="21"/>
                <w:color w:val="auto"/>
              </w:rPr>
            </w:pPr>
          </w:p>
        </w:tc>
        <w:tc>
          <w:tcPr>
            <w:tcW w:w="1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98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Loans</w:t>
            </w:r>
          </w:p>
        </w:tc>
      </w:tr>
      <w:tr>
        <w:trPr>
          <w:trHeight w:val="263"/>
        </w:trPr>
        <w:tc>
          <w:tcPr>
            <w:tcW w:w="20" w:type="dxa"/>
            <w:vAlign w:val="bottom"/>
            <w:tcBorders>
              <w:top w:val="single" w:sz="8" w:color="auto"/>
            </w:tcBorders>
            <w:shd w:val="clear" w:color="auto" w:fill="CCEEFF"/>
          </w:tcPr>
          <w:p>
            <w:pPr>
              <w:spacing w:after="0"/>
              <w:rPr>
                <w:sz w:val="22"/>
                <w:szCs w:val="22"/>
                <w:color w:val="auto"/>
              </w:rPr>
            </w:pPr>
          </w:p>
        </w:tc>
        <w:tc>
          <w:tcPr>
            <w:tcW w:w="5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00" w:type="dxa"/>
            <w:vAlign w:val="bottom"/>
            <w:tcBorders>
              <w:top w:val="single" w:sz="8" w:color="auto"/>
            </w:tcBorders>
            <w:shd w:val="clear" w:color="auto" w:fill="CCEEFF"/>
          </w:tcPr>
          <w:p>
            <w:pPr>
              <w:spacing w:after="0"/>
              <w:rPr>
                <w:sz w:val="22"/>
                <w:szCs w:val="22"/>
                <w:color w:val="auto"/>
              </w:rPr>
            </w:pPr>
          </w:p>
        </w:tc>
        <w:tc>
          <w:tcPr>
            <w:tcW w:w="17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980" w:type="dxa"/>
            <w:vAlign w:val="bottom"/>
            <w:tcBorders>
              <w:top w:val="single" w:sz="8" w:color="auto"/>
            </w:tcBorders>
            <w:shd w:val="clear" w:color="auto" w:fill="CCEEFF"/>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52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28,540</w:t>
            </w:r>
          </w:p>
        </w:tc>
        <w:tc>
          <w:tcPr>
            <w:tcW w:w="100" w:type="dxa"/>
            <w:vAlign w:val="bottom"/>
            <w:shd w:val="clear" w:color="auto" w:fill="CCEEFF"/>
          </w:tcPr>
          <w:p>
            <w:pPr>
              <w:spacing w:after="0"/>
              <w:rPr>
                <w:sz w:val="24"/>
                <w:szCs w:val="24"/>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57.79 %</w:t>
            </w:r>
          </w:p>
        </w:tc>
        <w:tc>
          <w:tcPr>
            <w:tcW w:w="100" w:type="dxa"/>
            <w:vAlign w:val="bottom"/>
            <w:shd w:val="clear" w:color="auto" w:fill="CCEEFF"/>
          </w:tcPr>
          <w:p>
            <w:pPr>
              <w:spacing w:after="0"/>
              <w:rPr>
                <w:sz w:val="24"/>
                <w:szCs w:val="24"/>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78.19 %</w:t>
            </w:r>
          </w:p>
        </w:tc>
      </w:tr>
      <w:tr>
        <w:trPr>
          <w:trHeight w:val="270"/>
        </w:trPr>
        <w:tc>
          <w:tcPr>
            <w:tcW w:w="20" w:type="dxa"/>
            <w:vAlign w:val="bottom"/>
          </w:tcPr>
          <w:p>
            <w:pPr>
              <w:spacing w:after="0"/>
              <w:rPr>
                <w:sz w:val="23"/>
                <w:szCs w:val="23"/>
                <w:color w:val="auto"/>
              </w:rPr>
            </w:pPr>
          </w:p>
        </w:tc>
        <w:tc>
          <w:tcPr>
            <w:tcW w:w="5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0.19 %</w:t>
            </w:r>
          </w:p>
        </w:tc>
        <w:tc>
          <w:tcPr>
            <w:tcW w:w="10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r>
      <w:tr>
        <w:trPr>
          <w:trHeight w:val="270"/>
        </w:trPr>
        <w:tc>
          <w:tcPr>
            <w:tcW w:w="20" w:type="dxa"/>
            <w:vAlign w:val="bottom"/>
            <w:shd w:val="clear" w:color="auto" w:fill="CCEEFF"/>
          </w:tcPr>
          <w:p>
            <w:pPr>
              <w:spacing w:after="0"/>
              <w:rPr>
                <w:sz w:val="23"/>
                <w:szCs w:val="23"/>
                <w:color w:val="auto"/>
              </w:rPr>
            </w:pPr>
          </w:p>
        </w:tc>
        <w:tc>
          <w:tcPr>
            <w:tcW w:w="52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10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9.16 %</w:t>
            </w:r>
          </w:p>
        </w:tc>
        <w:tc>
          <w:tcPr>
            <w:tcW w:w="100" w:type="dxa"/>
            <w:vAlign w:val="bottom"/>
            <w:shd w:val="clear" w:color="auto" w:fill="CCEEFF"/>
          </w:tcPr>
          <w:p>
            <w:pPr>
              <w:spacing w:after="0"/>
              <w:rPr>
                <w:sz w:val="23"/>
                <w:szCs w:val="23"/>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r>
      <w:tr>
        <w:trPr>
          <w:trHeight w:val="270"/>
        </w:trPr>
        <w:tc>
          <w:tcPr>
            <w:tcW w:w="20" w:type="dxa"/>
            <w:vAlign w:val="bottom"/>
          </w:tcPr>
          <w:p>
            <w:pPr>
              <w:spacing w:after="0"/>
              <w:rPr>
                <w:sz w:val="23"/>
                <w:szCs w:val="23"/>
                <w:color w:val="auto"/>
              </w:rPr>
            </w:pPr>
          </w:p>
        </w:tc>
        <w:tc>
          <w:tcPr>
            <w:tcW w:w="5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0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0.54 %</w:t>
            </w:r>
          </w:p>
        </w:tc>
      </w:tr>
      <w:tr>
        <w:trPr>
          <w:trHeight w:val="270"/>
        </w:trPr>
        <w:tc>
          <w:tcPr>
            <w:tcW w:w="20" w:type="dxa"/>
            <w:vAlign w:val="bottom"/>
            <w:shd w:val="clear" w:color="auto" w:fill="CCEEFF"/>
          </w:tcPr>
          <w:p>
            <w:pPr>
              <w:spacing w:after="0"/>
              <w:rPr>
                <w:sz w:val="23"/>
                <w:szCs w:val="23"/>
                <w:color w:val="auto"/>
              </w:rPr>
            </w:pPr>
          </w:p>
        </w:tc>
        <w:tc>
          <w:tcPr>
            <w:tcW w:w="52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0.93 %</w:t>
            </w:r>
          </w:p>
        </w:tc>
        <w:tc>
          <w:tcPr>
            <w:tcW w:w="100" w:type="dxa"/>
            <w:vAlign w:val="bottom"/>
            <w:shd w:val="clear" w:color="auto" w:fill="CCEEFF"/>
          </w:tcPr>
          <w:p>
            <w:pPr>
              <w:spacing w:after="0"/>
              <w:rPr>
                <w:sz w:val="23"/>
                <w:szCs w:val="23"/>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0.88 %</w:t>
            </w:r>
          </w:p>
        </w:tc>
      </w:tr>
      <w:tr>
        <w:trPr>
          <w:trHeight w:val="270"/>
        </w:trPr>
        <w:tc>
          <w:tcPr>
            <w:tcW w:w="20" w:type="dxa"/>
            <w:vAlign w:val="bottom"/>
          </w:tcPr>
          <w:p>
            <w:pPr>
              <w:spacing w:after="0"/>
              <w:rPr>
                <w:sz w:val="23"/>
                <w:szCs w:val="23"/>
                <w:color w:val="auto"/>
              </w:rPr>
            </w:pPr>
          </w:p>
        </w:tc>
        <w:tc>
          <w:tcPr>
            <w:tcW w:w="5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Farmland</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0.87 %</w:t>
            </w:r>
          </w:p>
        </w:tc>
        <w:tc>
          <w:tcPr>
            <w:tcW w:w="10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r>
      <w:tr>
        <w:trPr>
          <w:trHeight w:val="270"/>
        </w:trPr>
        <w:tc>
          <w:tcPr>
            <w:tcW w:w="20" w:type="dxa"/>
            <w:vAlign w:val="bottom"/>
            <w:shd w:val="clear" w:color="auto" w:fill="CCEEFF"/>
          </w:tcPr>
          <w:p>
            <w:pPr>
              <w:spacing w:after="0"/>
              <w:rPr>
                <w:sz w:val="23"/>
                <w:szCs w:val="23"/>
                <w:color w:val="auto"/>
              </w:rPr>
            </w:pPr>
          </w:p>
        </w:tc>
        <w:tc>
          <w:tcPr>
            <w:tcW w:w="5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5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Secured</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10,630</w:t>
            </w:r>
          </w:p>
        </w:tc>
        <w:tc>
          <w:tcPr>
            <w:tcW w:w="1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21.52 %</w:t>
            </w:r>
          </w:p>
        </w:tc>
        <w:tc>
          <w:tcPr>
            <w:tcW w:w="10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6.66 %</w:t>
            </w:r>
          </w:p>
        </w:tc>
      </w:tr>
      <w:tr>
        <w:trPr>
          <w:trHeight w:val="270"/>
        </w:trPr>
        <w:tc>
          <w:tcPr>
            <w:tcW w:w="20" w:type="dxa"/>
            <w:vAlign w:val="bottom"/>
            <w:shd w:val="clear" w:color="auto" w:fill="CCEEFF"/>
          </w:tcPr>
          <w:p>
            <w:pPr>
              <w:spacing w:after="0"/>
              <w:rPr>
                <w:sz w:val="23"/>
                <w:szCs w:val="23"/>
                <w:color w:val="auto"/>
              </w:rPr>
            </w:pPr>
          </w:p>
        </w:tc>
        <w:tc>
          <w:tcPr>
            <w:tcW w:w="52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Unsecured</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shd w:val="clear" w:color="auto" w:fill="CCEEFF"/>
          </w:tcPr>
          <w:p>
            <w:pPr>
              <w:spacing w:after="0"/>
              <w:rPr>
                <w:sz w:val="23"/>
                <w:szCs w:val="23"/>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0.83 %</w:t>
            </w:r>
          </w:p>
        </w:tc>
      </w:tr>
      <w:tr>
        <w:trPr>
          <w:trHeight w:val="270"/>
        </w:trPr>
        <w:tc>
          <w:tcPr>
            <w:tcW w:w="20" w:type="dxa"/>
            <w:vAlign w:val="bottom"/>
            <w:tcBorders>
              <w:bottom w:val="single" w:sz="8" w:color="CCEEFF"/>
            </w:tcBorders>
          </w:tcPr>
          <w:p>
            <w:pPr>
              <w:spacing w:after="0"/>
              <w:rPr>
                <w:sz w:val="23"/>
                <w:szCs w:val="23"/>
                <w:color w:val="auto"/>
              </w:rPr>
            </w:pPr>
          </w:p>
        </w:tc>
        <w:tc>
          <w:tcPr>
            <w:tcW w:w="52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Consumer and other</w:t>
            </w:r>
          </w:p>
        </w:tc>
        <w:tc>
          <w:tcPr>
            <w:tcW w:w="1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tcBorders>
              <w:bottom w:val="single" w:sz="8" w:color="CCEEFF"/>
            </w:tcBorders>
          </w:tcPr>
          <w:p>
            <w:pPr>
              <w:spacing w:after="0"/>
              <w:rPr>
                <w:sz w:val="23"/>
                <w:szCs w:val="23"/>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6.89 %</w:t>
            </w:r>
          </w:p>
        </w:tc>
        <w:tc>
          <w:tcPr>
            <w:tcW w:w="100" w:type="dxa"/>
            <w:vAlign w:val="bottom"/>
            <w:tcBorders>
              <w:bottom w:val="single" w:sz="8" w:color="CCEEFF"/>
            </w:tcBorders>
          </w:tcPr>
          <w:p>
            <w:pPr>
              <w:spacing w:after="0"/>
              <w:rPr>
                <w:sz w:val="23"/>
                <w:szCs w:val="23"/>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9.04 %</w:t>
            </w: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49,390</w:t>
            </w:r>
          </w:p>
        </w:tc>
        <w:tc>
          <w:tcPr>
            <w:tcW w:w="10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70"/>
        </w:trPr>
        <w:tc>
          <w:tcPr>
            <w:tcW w:w="20" w:type="dxa"/>
            <w:vAlign w:val="bottom"/>
            <w:shd w:val="clear" w:color="auto" w:fill="CCEEFF"/>
          </w:tcPr>
          <w:p>
            <w:pPr>
              <w:spacing w:after="0"/>
              <w:rPr>
                <w:sz w:val="23"/>
                <w:szCs w:val="23"/>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5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52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25,219</w:t>
            </w:r>
          </w:p>
        </w:tc>
        <w:tc>
          <w:tcPr>
            <w:tcW w:w="100" w:type="dxa"/>
            <w:vAlign w:val="bottom"/>
            <w:shd w:val="clear" w:color="auto" w:fill="CCEEFF"/>
          </w:tcPr>
          <w:p>
            <w:pPr>
              <w:spacing w:after="0"/>
              <w:rPr>
                <w:sz w:val="24"/>
                <w:szCs w:val="24"/>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56.77 %</w:t>
            </w:r>
          </w:p>
        </w:tc>
        <w:tc>
          <w:tcPr>
            <w:tcW w:w="100" w:type="dxa"/>
            <w:vAlign w:val="bottom"/>
            <w:shd w:val="clear" w:color="auto" w:fill="CCEEFF"/>
          </w:tcPr>
          <w:p>
            <w:pPr>
              <w:spacing w:after="0"/>
              <w:rPr>
                <w:sz w:val="24"/>
                <w:szCs w:val="24"/>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81.08 %</w:t>
            </w:r>
          </w:p>
        </w:tc>
      </w:tr>
      <w:tr>
        <w:trPr>
          <w:trHeight w:val="270"/>
        </w:trPr>
        <w:tc>
          <w:tcPr>
            <w:tcW w:w="20" w:type="dxa"/>
            <w:vAlign w:val="bottom"/>
          </w:tcPr>
          <w:p>
            <w:pPr>
              <w:spacing w:after="0"/>
              <w:rPr>
                <w:sz w:val="23"/>
                <w:szCs w:val="23"/>
                <w:color w:val="auto"/>
              </w:rPr>
            </w:pPr>
          </w:p>
        </w:tc>
        <w:tc>
          <w:tcPr>
            <w:tcW w:w="5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0.13 %</w:t>
            </w:r>
          </w:p>
        </w:tc>
        <w:tc>
          <w:tcPr>
            <w:tcW w:w="10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0.03 %</w:t>
            </w:r>
          </w:p>
        </w:tc>
      </w:tr>
      <w:tr>
        <w:trPr>
          <w:trHeight w:val="270"/>
        </w:trPr>
        <w:tc>
          <w:tcPr>
            <w:tcW w:w="20" w:type="dxa"/>
            <w:vAlign w:val="bottom"/>
            <w:shd w:val="clear" w:color="auto" w:fill="CCEEFF"/>
          </w:tcPr>
          <w:p>
            <w:pPr>
              <w:spacing w:after="0"/>
              <w:rPr>
                <w:sz w:val="23"/>
                <w:szCs w:val="23"/>
                <w:color w:val="auto"/>
              </w:rPr>
            </w:pPr>
          </w:p>
        </w:tc>
        <w:tc>
          <w:tcPr>
            <w:tcW w:w="52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9.12 %</w:t>
            </w:r>
          </w:p>
        </w:tc>
        <w:tc>
          <w:tcPr>
            <w:tcW w:w="100" w:type="dxa"/>
            <w:vAlign w:val="bottom"/>
            <w:shd w:val="clear" w:color="auto" w:fill="CCEEFF"/>
          </w:tcPr>
          <w:p>
            <w:pPr>
              <w:spacing w:after="0"/>
              <w:rPr>
                <w:sz w:val="23"/>
                <w:szCs w:val="23"/>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r>
      <w:tr>
        <w:trPr>
          <w:trHeight w:val="270"/>
        </w:trPr>
        <w:tc>
          <w:tcPr>
            <w:tcW w:w="20" w:type="dxa"/>
            <w:vAlign w:val="bottom"/>
          </w:tcPr>
          <w:p>
            <w:pPr>
              <w:spacing w:after="0"/>
              <w:rPr>
                <w:sz w:val="23"/>
                <w:szCs w:val="23"/>
                <w:color w:val="auto"/>
              </w:rPr>
            </w:pPr>
          </w:p>
        </w:tc>
        <w:tc>
          <w:tcPr>
            <w:tcW w:w="5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0.48 %</w:t>
            </w:r>
          </w:p>
        </w:tc>
        <w:tc>
          <w:tcPr>
            <w:tcW w:w="10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0.21 %</w:t>
            </w:r>
          </w:p>
        </w:tc>
      </w:tr>
      <w:tr>
        <w:trPr>
          <w:trHeight w:val="270"/>
        </w:trPr>
        <w:tc>
          <w:tcPr>
            <w:tcW w:w="20" w:type="dxa"/>
            <w:vAlign w:val="bottom"/>
            <w:shd w:val="clear" w:color="auto" w:fill="CCEEFF"/>
          </w:tcPr>
          <w:p>
            <w:pPr>
              <w:spacing w:after="0"/>
              <w:rPr>
                <w:sz w:val="23"/>
                <w:szCs w:val="23"/>
                <w:color w:val="auto"/>
              </w:rPr>
            </w:pPr>
          </w:p>
        </w:tc>
        <w:tc>
          <w:tcPr>
            <w:tcW w:w="52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0.82 %</w:t>
            </w:r>
          </w:p>
        </w:tc>
        <w:tc>
          <w:tcPr>
            <w:tcW w:w="100" w:type="dxa"/>
            <w:vAlign w:val="bottom"/>
            <w:shd w:val="clear" w:color="auto" w:fill="CCEEFF"/>
          </w:tcPr>
          <w:p>
            <w:pPr>
              <w:spacing w:after="0"/>
              <w:rPr>
                <w:sz w:val="23"/>
                <w:szCs w:val="23"/>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0.92 %</w:t>
            </w:r>
          </w:p>
        </w:tc>
      </w:tr>
      <w:tr>
        <w:trPr>
          <w:trHeight w:val="270"/>
        </w:trPr>
        <w:tc>
          <w:tcPr>
            <w:tcW w:w="20" w:type="dxa"/>
            <w:vAlign w:val="bottom"/>
          </w:tcPr>
          <w:p>
            <w:pPr>
              <w:spacing w:after="0"/>
              <w:rPr>
                <w:sz w:val="23"/>
                <w:szCs w:val="23"/>
                <w:color w:val="auto"/>
              </w:rPr>
            </w:pPr>
          </w:p>
        </w:tc>
        <w:tc>
          <w:tcPr>
            <w:tcW w:w="5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Farmland</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r>
      <w:tr>
        <w:trPr>
          <w:trHeight w:val="270"/>
        </w:trPr>
        <w:tc>
          <w:tcPr>
            <w:tcW w:w="20" w:type="dxa"/>
            <w:vAlign w:val="bottom"/>
            <w:shd w:val="clear" w:color="auto" w:fill="CCEEFF"/>
          </w:tcPr>
          <w:p>
            <w:pPr>
              <w:spacing w:after="0"/>
              <w:rPr>
                <w:sz w:val="23"/>
                <w:szCs w:val="23"/>
                <w:color w:val="auto"/>
              </w:rPr>
            </w:pPr>
          </w:p>
        </w:tc>
        <w:tc>
          <w:tcPr>
            <w:tcW w:w="52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52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Secured</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1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25.23 %</w:t>
            </w:r>
          </w:p>
        </w:tc>
        <w:tc>
          <w:tcPr>
            <w:tcW w:w="10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6.17 %</w:t>
            </w:r>
          </w:p>
        </w:tc>
      </w:tr>
      <w:tr>
        <w:trPr>
          <w:trHeight w:val="270"/>
        </w:trPr>
        <w:tc>
          <w:tcPr>
            <w:tcW w:w="20" w:type="dxa"/>
            <w:vAlign w:val="bottom"/>
            <w:shd w:val="clear" w:color="auto" w:fill="CCEEFF"/>
          </w:tcPr>
          <w:p>
            <w:pPr>
              <w:spacing w:after="0"/>
              <w:rPr>
                <w:sz w:val="23"/>
                <w:szCs w:val="23"/>
                <w:color w:val="auto"/>
              </w:rPr>
            </w:pPr>
          </w:p>
        </w:tc>
        <w:tc>
          <w:tcPr>
            <w:tcW w:w="52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Unsecured</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23"/>
                <w:szCs w:val="23"/>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shd w:val="clear" w:color="auto" w:fill="CCEEFF"/>
          </w:tcPr>
          <w:p>
            <w:pPr>
              <w:spacing w:after="0"/>
              <w:rPr>
                <w:sz w:val="23"/>
                <w:szCs w:val="23"/>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0.99 %</w:t>
            </w:r>
          </w:p>
        </w:tc>
      </w:tr>
      <w:tr>
        <w:trPr>
          <w:trHeight w:val="270"/>
        </w:trPr>
        <w:tc>
          <w:tcPr>
            <w:tcW w:w="20" w:type="dxa"/>
            <w:vAlign w:val="bottom"/>
            <w:tcBorders>
              <w:bottom w:val="single" w:sz="8" w:color="CCEEFF"/>
            </w:tcBorders>
          </w:tcPr>
          <w:p>
            <w:pPr>
              <w:spacing w:after="0"/>
              <w:rPr>
                <w:sz w:val="23"/>
                <w:szCs w:val="23"/>
                <w:color w:val="auto"/>
              </w:rPr>
            </w:pPr>
          </w:p>
        </w:tc>
        <w:tc>
          <w:tcPr>
            <w:tcW w:w="52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Consumer and other</w:t>
            </w:r>
          </w:p>
        </w:tc>
        <w:tc>
          <w:tcPr>
            <w:tcW w:w="1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Borders>
              <w:bottom w:val="single" w:sz="8" w:color="CCEEFF"/>
            </w:tcBorders>
          </w:tcPr>
          <w:p>
            <w:pPr>
              <w:spacing w:after="0"/>
              <w:rPr>
                <w:sz w:val="23"/>
                <w:szCs w:val="23"/>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5.31 %</w:t>
            </w:r>
          </w:p>
        </w:tc>
        <w:tc>
          <w:tcPr>
            <w:tcW w:w="100" w:type="dxa"/>
            <w:vAlign w:val="bottom"/>
            <w:tcBorders>
              <w:bottom w:val="single" w:sz="8" w:color="CCEEFF"/>
            </w:tcBorders>
          </w:tcPr>
          <w:p>
            <w:pPr>
              <w:spacing w:after="0"/>
              <w:rPr>
                <w:sz w:val="23"/>
                <w:szCs w:val="23"/>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6.77 %</w:t>
            </w: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44,409</w:t>
            </w:r>
          </w:p>
        </w:tc>
        <w:tc>
          <w:tcPr>
            <w:tcW w:w="10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ratio of the allowance for credit losses to total loans held for investment was 1.05% at September 30, 2026, a decline from 1.09% at December 31, 2025.</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65" w:name="page66"/>
    <w:bookmarkEnd w:id="65"/>
    <w:tbl>
      <w:tblPr>
        <w:tblLayout w:type="fixed"/>
        <w:tblInd w:w="40" w:type="dxa"/>
        <w:tblCellMar>
          <w:top w:w="0" w:type="dxa"/>
          <w:left w:w="0" w:type="dxa"/>
          <w:bottom w:w="0" w:type="dxa"/>
          <w:right w:w="0" w:type="dxa"/>
        </w:tblCellMar>
      </w:tblPr>
      <w:tr>
        <w:trPr>
          <w:trHeight w:val="207"/>
        </w:trPr>
        <w:tc>
          <w:tcPr>
            <w:tcW w:w="43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Table 20: Activity Within the Allowance for Credit Losses</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60" w:type="dxa"/>
            <w:vAlign w:val="bottom"/>
            <w:gridSpan w:val="5"/>
            <w:shd w:val="clear" w:color="auto" w:fill="000000"/>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9"/>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As of and for the three months ended</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8"/>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As of and for the nine months ended</w:t>
            </w:r>
          </w:p>
        </w:tc>
        <w:tc>
          <w:tcPr>
            <w:tcW w:w="0" w:type="dxa"/>
            <w:vAlign w:val="bottom"/>
          </w:tcPr>
          <w:p>
            <w:pPr>
              <w:spacing w:after="0"/>
              <w:rPr>
                <w:sz w:val="1"/>
                <w:szCs w:val="1"/>
                <w:color w:val="auto"/>
              </w:rPr>
            </w:pPr>
          </w:p>
        </w:tc>
      </w:tr>
      <w:tr>
        <w:trPr>
          <w:trHeight w:val="263"/>
        </w:trPr>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80" w:type="dxa"/>
            <w:vAlign w:val="bottom"/>
          </w:tcPr>
          <w:p>
            <w:pPr>
              <w:spacing w:after="0"/>
              <w:rPr>
                <w:sz w:val="22"/>
                <w:szCs w:val="22"/>
                <w:color w:val="auto"/>
              </w:rPr>
            </w:pPr>
          </w:p>
        </w:tc>
        <w:tc>
          <w:tcPr>
            <w:tcW w:w="160" w:type="dxa"/>
            <w:vAlign w:val="bottom"/>
            <w:tcBorders>
              <w:bottom w:val="single" w:sz="8" w:color="auto"/>
            </w:tcBorders>
            <w:gridSpan w:val="2"/>
          </w:tcPr>
          <w:p>
            <w:pPr>
              <w:spacing w:after="0"/>
              <w:rPr>
                <w:sz w:val="22"/>
                <w:szCs w:val="22"/>
                <w:color w:val="auto"/>
              </w:rPr>
            </w:pPr>
          </w:p>
        </w:tc>
        <w:tc>
          <w:tcPr>
            <w:tcW w:w="212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4"/>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rPr>
              <w:t>% of</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 of</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4"/>
          </w:tcPr>
          <w:p>
            <w:pPr>
              <w:jc w:val="center"/>
              <w:ind w:right="26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84"/>
        </w:trPr>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4"/>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rPr>
              <w:t>Loans Held</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rPr>
              <w:t>Loans Held</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rPr>
              <w:t>Loans Held</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Loans Held</w:t>
            </w:r>
          </w:p>
        </w:tc>
        <w:tc>
          <w:tcPr>
            <w:tcW w:w="0" w:type="dxa"/>
            <w:vAlign w:val="bottom"/>
          </w:tcPr>
          <w:p>
            <w:pPr>
              <w:spacing w:after="0"/>
              <w:rPr>
                <w:sz w:val="1"/>
                <w:szCs w:val="1"/>
                <w:color w:val="auto"/>
              </w:rPr>
            </w:pPr>
          </w:p>
        </w:tc>
      </w:tr>
      <w:tr>
        <w:trPr>
          <w:trHeight w:val="176"/>
        </w:trPr>
        <w:tc>
          <w:tcPr>
            <w:tcW w:w="17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Activity</w:t>
            </w:r>
          </w:p>
        </w:tc>
        <w:tc>
          <w:tcPr>
            <w:tcW w:w="80" w:type="dxa"/>
            <w:vAlign w:val="bottom"/>
          </w:tcPr>
          <w:p>
            <w:pPr>
              <w:spacing w:after="0"/>
              <w:rPr>
                <w:sz w:val="15"/>
                <w:szCs w:val="15"/>
                <w:color w:val="auto"/>
              </w:rPr>
            </w:pPr>
          </w:p>
        </w:tc>
        <w:tc>
          <w:tcPr>
            <w:tcW w:w="1280" w:type="dxa"/>
            <w:vAlign w:val="bottom"/>
            <w:gridSpan w:val="4"/>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5"/>
              </w:rPr>
              <w:t>for</w:t>
            </w:r>
          </w:p>
        </w:tc>
        <w:tc>
          <w:tcPr>
            <w:tcW w:w="9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Activity</w:t>
            </w:r>
          </w:p>
        </w:tc>
        <w:tc>
          <w:tcPr>
            <w:tcW w:w="80" w:type="dxa"/>
            <w:vAlign w:val="bottom"/>
          </w:tcPr>
          <w:p>
            <w:pPr>
              <w:spacing w:after="0"/>
              <w:rPr>
                <w:sz w:val="15"/>
                <w:szCs w:val="15"/>
                <w:color w:val="auto"/>
              </w:rPr>
            </w:pPr>
          </w:p>
        </w:tc>
        <w:tc>
          <w:tcPr>
            <w:tcW w:w="11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5"/>
              </w:rPr>
              <w:t>for</w:t>
            </w:r>
          </w:p>
        </w:tc>
        <w:tc>
          <w:tcPr>
            <w:tcW w:w="160" w:type="dxa"/>
            <w:vAlign w:val="bottom"/>
          </w:tcPr>
          <w:p>
            <w:pPr>
              <w:spacing w:after="0"/>
              <w:rPr>
                <w:sz w:val="15"/>
                <w:szCs w:val="15"/>
                <w:color w:val="auto"/>
              </w:rPr>
            </w:pPr>
          </w:p>
        </w:tc>
        <w:tc>
          <w:tcPr>
            <w:tcW w:w="9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Activity</w:t>
            </w:r>
          </w:p>
        </w:tc>
        <w:tc>
          <w:tcPr>
            <w:tcW w:w="80" w:type="dxa"/>
            <w:vAlign w:val="bottom"/>
          </w:tcPr>
          <w:p>
            <w:pPr>
              <w:spacing w:after="0"/>
              <w:rPr>
                <w:sz w:val="15"/>
                <w:szCs w:val="15"/>
                <w:color w:val="auto"/>
              </w:rPr>
            </w:pPr>
          </w:p>
        </w:tc>
        <w:tc>
          <w:tcPr>
            <w:tcW w:w="11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5"/>
              </w:rPr>
              <w:t>for</w:t>
            </w:r>
          </w:p>
        </w:tc>
        <w:tc>
          <w:tcPr>
            <w:tcW w:w="140" w:type="dxa"/>
            <w:vAlign w:val="bottom"/>
          </w:tcPr>
          <w:p>
            <w:pPr>
              <w:spacing w:after="0"/>
              <w:rPr>
                <w:sz w:val="15"/>
                <w:szCs w:val="15"/>
                <w:color w:val="auto"/>
              </w:rPr>
            </w:pPr>
          </w:p>
        </w:tc>
        <w:tc>
          <w:tcPr>
            <w:tcW w:w="10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Activity</w:t>
            </w:r>
          </w:p>
        </w:tc>
        <w:tc>
          <w:tcPr>
            <w:tcW w:w="80" w:type="dxa"/>
            <w:vAlign w:val="bottom"/>
          </w:tcPr>
          <w:p>
            <w:pPr>
              <w:spacing w:after="0"/>
              <w:rPr>
                <w:sz w:val="15"/>
                <w:szCs w:val="15"/>
                <w:color w:val="auto"/>
              </w:rPr>
            </w:pPr>
          </w:p>
        </w:tc>
        <w:tc>
          <w:tcPr>
            <w:tcW w:w="10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for</w:t>
            </w:r>
          </w:p>
        </w:tc>
        <w:tc>
          <w:tcPr>
            <w:tcW w:w="0" w:type="dxa"/>
            <w:vAlign w:val="bottom"/>
          </w:tcPr>
          <w:p>
            <w:pPr>
              <w:spacing w:after="0"/>
              <w:rPr>
                <w:sz w:val="1"/>
                <w:szCs w:val="1"/>
                <w:color w:val="auto"/>
              </w:rPr>
            </w:pPr>
          </w:p>
        </w:tc>
      </w:tr>
      <w:tr>
        <w:trPr>
          <w:trHeight w:val="243"/>
        </w:trPr>
        <w:tc>
          <w:tcPr>
            <w:tcW w:w="17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gridSpan w:val="2"/>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0" w:type="dxa"/>
            <w:vAlign w:val="bottom"/>
          </w:tcPr>
          <w:p>
            <w:pPr>
              <w:spacing w:after="0"/>
              <w:rPr>
                <w:sz w:val="1"/>
                <w:szCs w:val="1"/>
                <w:color w:val="auto"/>
              </w:rPr>
            </w:pPr>
          </w:p>
        </w:tc>
      </w:tr>
      <w:tr>
        <w:trPr>
          <w:trHeight w:val="218"/>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loans held for</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4,612,608</w:t>
            </w:r>
          </w:p>
        </w:tc>
        <w:tc>
          <w:tcPr>
            <w:tcW w:w="1360" w:type="dxa"/>
            <w:vAlign w:val="bottom"/>
            <w:gridSpan w:val="5"/>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3,831,785</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4,365,479</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3,697,065</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w:t>
            </w:r>
          </w:p>
        </w:tc>
        <w:tc>
          <w:tcPr>
            <w:tcW w:w="14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360" w:type="dxa"/>
            <w:vAlign w:val="bottom"/>
            <w:gridSpan w:val="5"/>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losses - beginning of</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47,335</w:t>
            </w:r>
          </w:p>
        </w:tc>
        <w:tc>
          <w:tcPr>
            <w:tcW w:w="13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40,167</w:t>
            </w: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44,409</w:t>
            </w:r>
          </w:p>
        </w:tc>
        <w:tc>
          <w:tcPr>
            <w:tcW w:w="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37,791</w:t>
            </w: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1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1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2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63"/>
        </w:trPr>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1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Secured</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(642)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(2,242)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(2,454)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63"/>
        </w:trPr>
        <w:tc>
          <w:tcPr>
            <w:tcW w:w="1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Unsecured</w:t>
            </w:r>
          </w:p>
        </w:tc>
        <w:tc>
          <w:tcPr>
            <w:tcW w:w="140" w:type="dxa"/>
            <w:vAlign w:val="bottom"/>
          </w:tcPr>
          <w:p>
            <w:pPr>
              <w:spacing w:after="0"/>
              <w:rPr>
                <w:sz w:val="22"/>
                <w:szCs w:val="22"/>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2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2"/>
                <w:szCs w:val="22"/>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2"/>
                <w:szCs w:val="22"/>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1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Consumer and other</w:t>
            </w: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gridSpan w:val="2"/>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3"/>
        </w:trPr>
        <w:tc>
          <w:tcPr>
            <w:tcW w:w="18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Net charge-offs</w:t>
            </w: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(645)</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(606)</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(2,269)</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(2,780)</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70"/>
        </w:trPr>
        <w:tc>
          <w:tcPr>
            <w:tcW w:w="1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credit</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7,250</w:t>
            </w:r>
          </w:p>
        </w:tc>
        <w:tc>
          <w:tcPr>
            <w:tcW w:w="8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7,050</w:t>
            </w: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credit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49,390</w:t>
            </w:r>
          </w:p>
        </w:tc>
        <w:tc>
          <w:tcPr>
            <w:tcW w:w="1360" w:type="dxa"/>
            <w:vAlign w:val="bottom"/>
            <w:gridSpan w:val="5"/>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42,061</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49,390</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42,061</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losses - end of period</w:t>
            </w:r>
          </w:p>
        </w:tc>
        <w:tc>
          <w:tcPr>
            <w:tcW w:w="14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360" w:type="dxa"/>
            <w:vAlign w:val="bottom"/>
            <w:gridSpan w:val="5"/>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held for</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4,704,215</w:t>
            </w:r>
          </w:p>
        </w:tc>
        <w:tc>
          <w:tcPr>
            <w:tcW w:w="13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3,887,259</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4,704,215</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3,887,259</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losses to loans held for</w:t>
            </w:r>
          </w:p>
        </w:tc>
        <w:tc>
          <w:tcPr>
            <w:tcW w:w="1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1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w:t>
            </w: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ratio of the allowance for credit losses to loans held for investment decreased from 1.08% as of September 30, 2025 to 1.05% as of September 30, 2026. Net charge-offs as a percent of average loans held for investment decreased from 0.02% for the three months ended September 30, 2025 to 0.01% for the three months ended September 30, 2026. Net charge-offs as a percent of average loans held for investment decreased from 0.08% for the nine months ended September 30, 2025 to 0.05% for the nine months ended September 30, 2026.</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nine months of 2026, total liabilities increased by $633.4 million from $4.3 billion as of December 31, 2025 to $4.9 billion as of September 30, 2026. This increase was primarily due to an increase in deposits of $623.4 million. The increase in deposits was largely due to increases in money market, non-interest-bearing, and interest-bearing transaction deposits of $712.6 million, $126.0 million, and $71.5 million, respectively, partially offset by a $296.8 million decrease in time deposits, mainly attributable to a $265.0 million decline in wholesale deposits.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Representing 97.61% of our total liabilities as of September 30, 2026, deposits are our primary source of funding for our business operations.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deposits increased by $623.4 million, or 14.84%, to $4.8 billion at September 30, 2026 from $4.2 billion at December 31, 2025. The increase in deposits was largely due to increases in money market, non-interest-bearing, and interest-bearing transaction deposits of $712.6 million, $126.0 million, and $71.5 million, respectively, partially offset by a $296.8 million decrease in time deposits, mainly attributable to a $265.0 million decline in wholesale deposits. The Company defines wholesale deposits as brokered deposits and California Time Deposit Program deposits. Non-interest-bearing deposits increased by $126.0 million from December 31, 2025 to $1.2 billion at September 30, 2026, representing 25.09% of total deposits at that date, as compared to 25.82% of total deposits at December 31, 2025. Our loan to deposit ratio was 97.51% at September 30, 2026, as compared to 97.00% at December 31, 2025. We closely monitor the loan to deposit ratio for purposes of both operational objectives and regulatory capital compliance.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21 summarizes our deposit composition by average deposit balances and average rates paid for the periods indicated.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Table 21: Deposit Composition by Average Balances and Rates Paid</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1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vMerge w:val="restart"/>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Average Rate</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220" w:type="dxa"/>
            <w:vAlign w:val="bottom"/>
          </w:tcPr>
          <w:p>
            <w:pPr>
              <w:spacing w:after="0"/>
              <w:rPr>
                <w:sz w:val="19"/>
                <w:szCs w:val="19"/>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Average Rate</w:t>
            </w: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Paid</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Paid</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0" w:type="dxa"/>
            <w:vAlign w:val="bottom"/>
          </w:tcPr>
          <w:p>
            <w:pPr>
              <w:spacing w:after="0"/>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433,005</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300,642</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7.59 %</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and savings accounts</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2,980,314</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60.73 %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2,005,062</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50.61 %</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accounts</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282,857</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5.76 %</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639,434</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16.14 %</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2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Demand accounts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1,212,088</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24.69 %</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1,016,560</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25.66 %</w:t>
            </w:r>
          </w:p>
        </w:tc>
        <w:tc>
          <w:tcPr>
            <w:tcW w:w="0" w:type="dxa"/>
            <w:vAlign w:val="bottom"/>
          </w:tcPr>
          <w:p>
            <w:pPr>
              <w:spacing w:after="0"/>
              <w:rPr>
                <w:sz w:val="1"/>
                <w:szCs w:val="1"/>
                <w:color w:val="auto"/>
              </w:rPr>
            </w:pPr>
          </w:p>
        </w:tc>
      </w:tr>
      <w:tr>
        <w:trPr>
          <w:trHeight w:val="290"/>
        </w:trPr>
        <w:tc>
          <w:tcPr>
            <w:tcW w:w="20" w:type="dxa"/>
            <w:vAlign w:val="bottom"/>
            <w:tcBorders>
              <w:bottom w:val="single" w:sz="8" w:color="CCEEFF"/>
            </w:tcBorders>
            <w:shd w:val="clear" w:color="auto" w:fill="CCEEFF"/>
          </w:tcPr>
          <w:p>
            <w:pPr>
              <w:spacing w:after="0"/>
              <w:rPr>
                <w:sz w:val="24"/>
                <w:szCs w:val="24"/>
                <w:color w:val="auto"/>
              </w:rPr>
            </w:pPr>
          </w:p>
        </w:tc>
        <w:tc>
          <w:tcPr>
            <w:tcW w:w="29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deposits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4,908,264</w:t>
            </w:r>
          </w:p>
        </w:tc>
        <w:tc>
          <w:tcPr>
            <w:tcW w:w="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3,961,698</w:t>
            </w:r>
          </w:p>
        </w:tc>
        <w:tc>
          <w:tcPr>
            <w:tcW w:w="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1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vMerge w:val="restart"/>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Average Rate</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220" w:type="dxa"/>
            <w:vAlign w:val="bottom"/>
          </w:tcPr>
          <w:p>
            <w:pPr>
              <w:spacing w:after="0"/>
              <w:rPr>
                <w:sz w:val="19"/>
                <w:szCs w:val="19"/>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Average Rate</w:t>
            </w: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Paid</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Paid</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388,929</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295,933</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7.87 %</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and savings accounts</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2,670,435</w:t>
            </w: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1,814,202</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48.21 %</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accounts</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402,695</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8.70 %</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690,506</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18.35 %</w:t>
            </w: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tcPr>
          <w:p>
            <w:pPr>
              <w:spacing w:after="0"/>
              <w:rPr>
                <w:sz w:val="22"/>
                <w:szCs w:val="22"/>
                <w:color w:val="auto"/>
              </w:rPr>
            </w:pPr>
          </w:p>
        </w:tc>
        <w:tc>
          <w:tcPr>
            <w:tcW w:w="2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Demand accounts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1,166,376</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25.20 %</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961,903</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25.57 %</w:t>
            </w:r>
          </w:p>
        </w:tc>
        <w:tc>
          <w:tcPr>
            <w:tcW w:w="0" w:type="dxa"/>
            <w:vAlign w:val="bottom"/>
          </w:tcPr>
          <w:p>
            <w:pPr>
              <w:spacing w:after="0"/>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2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deposits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4,628,435</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3,762,544</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uninsured and uncollateralized deposits totaled approximately $1.5 billion and $1.4 billion at September 30, 2026 and December 31, 2025, respectively.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7" w:name="page68"/>
    <w:bookmarkEnd w:id="67"/>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our 75 largest deposit relationships, each accounting for more than $10.0 million, totaled $2.4 billion, or 49.92% of our total deposits. The average age on deposit relationships of more than $5.0 million was approximately 7.45 years as of September 30, 2026. As of December 31, 2025, our 53 largest deposit relationships, each accounting for more than $10.0 million, totaled $2.0 billion, or 47.82% of our total deposits.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Table 22 shows the entity types making up our large deposit relationships at the dates indicated.</w:t>
            </w: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Table 22: Composition of Large Deposit Relationships</w:t>
            </w:r>
          </w:p>
        </w:tc>
        <w:tc>
          <w:tcPr>
            <w:tcW w:w="31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63"/>
        </w:trPr>
        <w:tc>
          <w:tcPr>
            <w:tcW w:w="20" w:type="dxa"/>
            <w:vAlign w:val="bottom"/>
            <w:tcBorders>
              <w:bottom w:val="single" w:sz="8" w:color="auto"/>
            </w:tcBorders>
          </w:tcPr>
          <w:p>
            <w:pPr>
              <w:spacing w:after="0"/>
              <w:rPr>
                <w:sz w:val="22"/>
                <w:szCs w:val="22"/>
                <w:color w:val="auto"/>
              </w:rPr>
            </w:pPr>
          </w:p>
        </w:tc>
        <w:tc>
          <w:tcPr>
            <w:tcW w:w="6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63"/>
        </w:trPr>
        <w:tc>
          <w:tcPr>
            <w:tcW w:w="20" w:type="dxa"/>
            <w:vAlign w:val="bottom"/>
            <w:shd w:val="clear" w:color="auto" w:fill="CCEEFF"/>
          </w:tcPr>
          <w:p>
            <w:pPr>
              <w:spacing w:after="0"/>
              <w:rPr>
                <w:sz w:val="22"/>
                <w:szCs w:val="22"/>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1,009,467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789,643</w:t>
            </w:r>
          </w:p>
        </w:tc>
      </w:tr>
      <w:tr>
        <w:trPr>
          <w:trHeight w:val="263"/>
        </w:trPr>
        <w:tc>
          <w:tcPr>
            <w:tcW w:w="20" w:type="dxa"/>
            <w:vAlign w:val="bottom"/>
          </w:tcPr>
          <w:p>
            <w:pPr>
              <w:spacing w:after="0"/>
              <w:rPr>
                <w:sz w:val="22"/>
                <w:szCs w:val="22"/>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Non-profits</w:t>
            </w:r>
          </w:p>
        </w:tc>
        <w:tc>
          <w:tcPr>
            <w:tcW w:w="18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283,666</w:t>
            </w:r>
          </w:p>
        </w:tc>
      </w:tr>
      <w:tr>
        <w:trPr>
          <w:trHeight w:val="277"/>
        </w:trPr>
        <w:tc>
          <w:tcPr>
            <w:tcW w:w="20" w:type="dxa"/>
            <w:vAlign w:val="bottom"/>
            <w:shd w:val="clear" w:color="auto" w:fill="CCEEFF"/>
          </w:tcPr>
          <w:p>
            <w:pPr>
              <w:spacing w:after="0"/>
              <w:rPr>
                <w:sz w:val="24"/>
                <w:szCs w:val="24"/>
                <w:color w:val="auto"/>
              </w:rPr>
            </w:pPr>
          </w:p>
        </w:tc>
        <w:tc>
          <w:tcPr>
            <w:tcW w:w="7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Businesses</w:t>
            </w:r>
          </w:p>
        </w:tc>
        <w:tc>
          <w:tcPr>
            <w:tcW w:w="180" w:type="dxa"/>
            <w:vAlign w:val="bottom"/>
            <w:shd w:val="clear" w:color="auto" w:fill="CCEEFF"/>
          </w:tcPr>
          <w:p>
            <w:pPr>
              <w:spacing w:after="0"/>
              <w:rPr>
                <w:sz w:val="24"/>
                <w:szCs w:val="24"/>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1,008,190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760,516</w:t>
            </w:r>
          </w:p>
        </w:tc>
      </w:tr>
      <w:tr>
        <w:trPr>
          <w:trHeight w:val="263"/>
        </w:trPr>
        <w:tc>
          <w:tcPr>
            <w:tcW w:w="20" w:type="dxa"/>
            <w:vAlign w:val="bottom"/>
          </w:tcPr>
          <w:p>
            <w:pPr>
              <w:spacing w:after="0"/>
              <w:rPr>
                <w:sz w:val="22"/>
                <w:szCs w:val="22"/>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Brokered deposits</w:t>
            </w:r>
          </w:p>
        </w:tc>
        <w:tc>
          <w:tcPr>
            <w:tcW w:w="180" w:type="dxa"/>
            <w:vAlign w:val="bottom"/>
          </w:tcPr>
          <w:p>
            <w:pPr>
              <w:spacing w:after="0"/>
              <w:rPr>
                <w:sz w:val="22"/>
                <w:szCs w:val="22"/>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174,981</w:t>
            </w:r>
          </w:p>
        </w:tc>
      </w:tr>
      <w:tr>
        <w:trPr>
          <w:trHeight w:val="295"/>
        </w:trPr>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708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2,408,374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2,008,806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largest single deposit relationship at September 30, 2026 related to a government agency. The balance for this customer was $304.0 million, or approximately 6.30% of total deposits as of that date. At December 31, 2025, our largest single deposit relationship related to a government agency and had a balance of $290.0 million, or 6.90% of total deposits as of that date. As our demand deposits fluctuate, we have purchased brokered deposits as needed to supplement liquidity. We do not consider brokered deposits as core deposits, but as another deposit funding source for our loan growth.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23 sets forth the maturity of time deposits as of September 30, 2026.</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23: Scheduled Maturities of Time Deposits</w:t>
            </w: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90"/>
        </w:trPr>
        <w:tc>
          <w:tcPr>
            <w:tcW w:w="20" w:type="dxa"/>
            <w:vAlign w:val="bottom"/>
            <w:tcBorders>
              <w:bottom w:val="single" w:sz="8" w:color="auto"/>
            </w:tcBorders>
          </w:tcPr>
          <w:p>
            <w:pPr>
              <w:spacing w:after="0"/>
              <w:rPr>
                <w:sz w:val="24"/>
                <w:szCs w:val="24"/>
                <w:color w:val="auto"/>
              </w:rPr>
            </w:pPr>
          </w:p>
        </w:tc>
        <w:tc>
          <w:tcPr>
            <w:tcW w:w="3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250,000 or Greater</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Less than $250,000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Uninsured Portion</w:t>
            </w:r>
          </w:p>
        </w:tc>
      </w:tr>
      <w:tr>
        <w:trPr>
          <w:trHeight w:val="264"/>
        </w:trPr>
        <w:tc>
          <w:tcPr>
            <w:tcW w:w="20" w:type="dxa"/>
            <w:vAlign w:val="bottom"/>
            <w:shd w:val="clear" w:color="auto" w:fill="CCEEFF"/>
          </w:tcPr>
          <w:p>
            <w:pPr>
              <w:spacing w:after="0"/>
              <w:rPr>
                <w:sz w:val="22"/>
                <w:szCs w:val="22"/>
                <w:color w:val="auto"/>
              </w:rPr>
            </w:pPr>
          </w:p>
        </w:tc>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maturity:</w:t>
            </w: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45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Three months or less</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205,485</w:t>
            </w:r>
          </w:p>
        </w:tc>
        <w:tc>
          <w:tcPr>
            <w:tcW w:w="100" w:type="dxa"/>
            <w:vAlign w:val="bottom"/>
          </w:tcPr>
          <w:p>
            <w:pPr>
              <w:spacing w:after="0"/>
              <w:rPr>
                <w:sz w:val="23"/>
                <w:szCs w:val="23"/>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8,341</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213,826</w:t>
            </w:r>
          </w:p>
        </w:tc>
        <w:tc>
          <w:tcPr>
            <w:tcW w:w="100" w:type="dxa"/>
            <w:vAlign w:val="bottom"/>
          </w:tcPr>
          <w:p>
            <w:pPr>
              <w:spacing w:after="0"/>
              <w:rPr>
                <w:sz w:val="23"/>
                <w:szCs w:val="23"/>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202,485</w:t>
            </w:r>
          </w:p>
        </w:tc>
      </w:tr>
      <w:tr>
        <w:trPr>
          <w:trHeight w:val="270"/>
        </w:trPr>
        <w:tc>
          <w:tcPr>
            <w:tcW w:w="20" w:type="dxa"/>
            <w:vAlign w:val="bottom"/>
            <w:shd w:val="clear" w:color="auto" w:fill="CCEEFF"/>
          </w:tcPr>
          <w:p>
            <w:pPr>
              <w:spacing w:after="0"/>
              <w:rPr>
                <w:sz w:val="23"/>
                <w:szCs w:val="23"/>
                <w:color w:val="auto"/>
              </w:rPr>
            </w:pPr>
          </w:p>
        </w:tc>
        <w:tc>
          <w:tcPr>
            <w:tcW w:w="4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Over three through six months</w:t>
            </w: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12,182</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22,096</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w:t>
            </w:r>
          </w:p>
        </w:tc>
      </w:tr>
      <w:tr>
        <w:trPr>
          <w:trHeight w:val="270"/>
        </w:trPr>
        <w:tc>
          <w:tcPr>
            <w:tcW w:w="20" w:type="dxa"/>
            <w:vAlign w:val="bottom"/>
          </w:tcPr>
          <w:p>
            <w:pPr>
              <w:spacing w:after="0"/>
              <w:rPr>
                <w:sz w:val="23"/>
                <w:szCs w:val="23"/>
                <w:color w:val="auto"/>
              </w:rPr>
            </w:pPr>
          </w:p>
        </w:tc>
        <w:tc>
          <w:tcPr>
            <w:tcW w:w="45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Over six through twelve months</w:t>
            </w:r>
          </w:p>
        </w:tc>
        <w:tc>
          <w:tcPr>
            <w:tcW w:w="5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8,498</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21,173</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w:t>
            </w:r>
          </w:p>
        </w:tc>
      </w:tr>
      <w:tr>
        <w:trPr>
          <w:trHeight w:val="270"/>
        </w:trPr>
        <w:tc>
          <w:tcPr>
            <w:tcW w:w="20" w:type="dxa"/>
            <w:vAlign w:val="bottom"/>
            <w:shd w:val="clear" w:color="auto" w:fill="CCEEFF"/>
          </w:tcPr>
          <w:p>
            <w:pPr>
              <w:spacing w:after="0"/>
              <w:rPr>
                <w:sz w:val="23"/>
                <w:szCs w:val="23"/>
                <w:color w:val="auto"/>
              </w:rPr>
            </w:pPr>
          </w:p>
        </w:tc>
        <w:tc>
          <w:tcPr>
            <w:tcW w:w="4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Over twelve months</w:t>
            </w:r>
          </w:p>
        </w:tc>
        <w:tc>
          <w:tcPr>
            <w:tcW w:w="5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63"/>
        </w:trPr>
        <w:tc>
          <w:tcPr>
            <w:tcW w:w="20" w:type="dxa"/>
            <w:vAlign w:val="bottom"/>
          </w:tcPr>
          <w:p>
            <w:pPr>
              <w:spacing w:after="0"/>
              <w:rPr>
                <w:sz w:val="22"/>
                <w:szCs w:val="22"/>
                <w:color w:val="auto"/>
              </w:rPr>
            </w:pPr>
          </w:p>
        </w:tc>
        <w:tc>
          <w:tcPr>
            <w:tcW w:w="45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226,508</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31,339</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257,847</w:t>
            </w: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216,258</w:t>
            </w: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FHLB Advances and Other Borrowings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utilize short-term collateralized FHLB borrowings to maintain adequate liquidity. There were no borrowings outstanding as of either September 30, 2026 or December 31, 2025.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2022, we issued subordinated notes of $75.0 million. This debt was issued to investors in private placement transactions. See Note 6, Subordinated Notes and Other Borrowings, in the notes to our unaudited consolidated financial statements included in this Quarterly Report on Form 10-Q for additional information regarding these subordinated notes. The proceeds of the notes qualify as Tier 2 capital for the Company under the regulatory capital rules of the federal banking agencies.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24 is a summary of our outstanding subordinated notes as of September 30, 2026.</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Table 24: Subordinated Notes Outstanding</w:t>
            </w:r>
          </w:p>
        </w:tc>
        <w:tc>
          <w:tcPr>
            <w:tcW w:w="16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91"/>
        </w:trPr>
        <w:tc>
          <w:tcPr>
            <w:tcW w:w="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CCEEFF"/>
            </w:tcBorders>
          </w:tcPr>
          <w:p>
            <w:pPr>
              <w:spacing w:after="0"/>
              <w:rPr>
                <w:sz w:val="24"/>
                <w:szCs w:val="24"/>
                <w:color w:val="auto"/>
              </w:rPr>
            </w:pPr>
          </w:p>
        </w:tc>
        <w:tc>
          <w:tcPr>
            <w:tcW w:w="2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 Date</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 of Notes</w:t>
            </w:r>
          </w:p>
        </w:tc>
        <w:tc>
          <w:tcPr>
            <w:tcW w:w="80" w:type="dxa"/>
            <w:vAlign w:val="bottom"/>
            <w:tcBorders>
              <w:bottom w:val="single" w:sz="8" w:color="CCEEFF"/>
            </w:tcBorders>
          </w:tcPr>
          <w:p>
            <w:pPr>
              <w:spacing w:after="0"/>
              <w:rPr>
                <w:sz w:val="24"/>
                <w:szCs w:val="24"/>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Prepayment Right</w:t>
            </w:r>
          </w:p>
        </w:tc>
        <w:tc>
          <w:tcPr>
            <w:tcW w:w="100" w:type="dxa"/>
            <w:vAlign w:val="bottom"/>
            <w:tcBorders>
              <w:bottom w:val="single" w:sz="8" w:color="CCEEFF"/>
            </w:tcBorders>
          </w:tcPr>
          <w:p>
            <w:pPr>
              <w:spacing w:after="0"/>
              <w:rPr>
                <w:sz w:val="24"/>
                <w:szCs w:val="24"/>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r>
      <w:tr>
        <w:trPr>
          <w:trHeight w:val="264"/>
        </w:trPr>
        <w:tc>
          <w:tcPr>
            <w:tcW w:w="20" w:type="dxa"/>
            <w:vAlign w:val="bottom"/>
            <w:shd w:val="clear" w:color="auto" w:fill="CCEEFF"/>
          </w:tcPr>
          <w:p>
            <w:pPr>
              <w:spacing w:after="0"/>
              <w:rPr>
                <w:sz w:val="22"/>
                <w:szCs w:val="22"/>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54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rPr>
              <w:t>August 2022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shd w:val="clear" w:color="auto" w:fill="CCEEFF"/>
          </w:tcPr>
          <w:p>
            <w:pPr>
              <w:spacing w:after="0"/>
              <w:rPr>
                <w:sz w:val="22"/>
                <w:szCs w:val="22"/>
                <w:color w:val="auto"/>
              </w:rPr>
            </w:pPr>
          </w:p>
        </w:tc>
        <w:tc>
          <w:tcPr>
            <w:tcW w:w="2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August 17, 2027</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1, 2032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15175"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Fixed at 6.00% through September 1, 2027, then three-month Term SOFR plus 329.0 basis points (7.37% as of September 30, 2026) through maturity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equity totaled $617.2 million at September 30, 2026 and $445.8 million at December 31, 2025. The increase in shareholders’ equity was primarily a result of $130.0 million of additional common stock outstanding and $59.9 million recognized as net income during the period, partially offset by $16.8 million in cash dividends paid during the period and a $3.2 million increase in accumulated other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Management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manage liquidity based upon factors that include the level of diversification of our funding sources, the composition of our deposit types, the availability of unused funding sources, our off-balance-sheet obligations, the amount of cash and liquid securities we hold, and the availability of assets to be readily converted into cash without undue loss. As the primary federal regulator of the Bank, the FDIC evaluates our liquidity on a stand-alone basis pursuant to applicable guidance and policies.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Liquidity refers to our capacity to meet our cash obligations at a reasonable cost. Our cash obligations require us to have cash flow that is adequate to fund loan growth and maintain on-balance-sheet liquidity while meeting present and future obligations of deposit withdrawals, borrowing maturities, and other contractual cash obligations. In managing our cash flows, management regularly confronts situations that can give rise to increased liquidity risk. These include funding mismatches, market constraints in accessing sources of funds, and the ability to convert assets into cash. Changes in economic conditions or exposure to borrower credit quality, capital markets, and operational, legal, or reputational risks could also affect the Bank’s liquidity risk profile and are considered in the assessment of liquidity management.</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a corporation separate and apart from the Bank and, therefore, must provide for its own liquidity, including liquidity required to meet its debt service requirements on its subordinated notes. The Company’s main source of cash flow is dividends declared and paid to it by the Bank. There are statutory and regulatory limitations that affect the ability of the Bank to pay dividends to the Company, including various legal and regulatory provisions that limit the amount of dividends the Bank can pay to the Company without regulatory approval. Under the California Financial Code, payment of a dividend from the Bank to the Company without advance regulatory approval is restricted to the lesser of the Bank’s retained earnings or the amount of the Bank’s net income from the previous three fiscal years less the amount of dividends paid during that period. We believe that these limitations will not impact our ability to meet our ongoing short-term cash obligations. For contingency purposes, the Company maintains a minimum level of cash to fund one year’s projected operating cash flow needs plus two years’ subordinated notes debt service. We continually monitor our liquidity position in order to meet all reasonably foreseeable short-term, long-term, and strategic liquidity demands. Management has established a comprehensive process for identifying, measuring, monitoring, and controlling liquidity risk. Because of its critical importance to the viability of the Bank, liquidity risk management is fully integrated into our risk management processes. Critical elements of our liquidity risk management include effective corporate governance, consisting of oversight by the board of directors and active involvement by management; appropriate strategies, policies, procedures, and limits used to manage and mitigate liquidity risk; comprehensive liquidity risk measurement and monitoring systems, including stress tests, that are commensurate with the complexity of our business activities;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 situations; comprehensive contingency funding plans that sufficiently address potential adverse liquidity events and emergency cash flow requirements; and internal controls and internal audit processes sufficient to determine the adequacy of the Bank’s liquidity risk management process.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liquidity position is supported by management of our liquid assets and liabilities and access to alternative sources of funds. Our liquidity requirements are met primarily through our deposits, Federal Reserve Discount Window advances, FHLB advances, and the principal and interest payments we receive on loans and investment securities. Cash on hand, cash at third-party banks, investments available-for-sale, and maturing or prepaying balances in our investment and loan portfolios are our most liquid assets. Other sources of liquidity that are routinely available to us include funds from retail and wholesale deposits, advances from the FHLB and the Federal Reserve Discount Window, and proceeds from the sale of loans. Less commonly used sources of funding include borrowings from established federal funds lines from unaffiliated commercial banks, and the issuance of debt or equity securities. We believe we have ample liquidity resources to fund future growth and meet other cash needs as necessary.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9" w:name="page70"/>
    <w:bookmarkEnd w:id="69"/>
    <w:p>
      <w:pPr>
        <w:jc w:val="both"/>
        <w:spacing w:after="0" w:line="254" w:lineRule="auto"/>
        <w:rPr>
          <w:sz w:val="20"/>
          <w:szCs w:val="20"/>
          <w:color w:val="auto"/>
        </w:rPr>
      </w:pPr>
      <w:r>
        <w:rPr>
          <w:rFonts w:ascii="Times New Roman" w:cs="Times New Roman" w:eastAsia="Times New Roman" w:hAnsi="Times New Roman"/>
          <w:sz w:val="18"/>
          <w:szCs w:val="18"/>
          <w:color w:val="auto"/>
        </w:rPr>
        <w:t>As of September 30, 2026, we had a shelf registration statement on file with the SEC registering the offer and sale by us of up to $300.0 million of any combination of equity or debt securities, depository shares, warrants, purchase contracts, purchase units, subscription rights, and units in one or more offerings. Specific information on the terms of any securities being offered, including the expected use of proceeds from the sale of such securities, are provided at the time of the offering. In July 2026, we sold an aggregate of 3,133,750 shares of our common stock at a price of $44.00 per share in a public offering (the “2026 Public Offering”), for net proceeds to us, after deducting underwriting discounts and commissions and offering expenses payable by us, of approximately $130.0 million, to be used for general corporate purposes and to support continued growth, including through investments in the Bank to pursue growth opportunities, and for working capital. The 2026 Public Offering used approximately $137.9 million of the securities registered under our shelf registration statement on file with the SEC, leaving approximately $162.1 million available for future offerings.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Cash</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executive officers and board of directors review our sources and potential uses of cash in connection with our annual budgeting process. Generally speaking, our principal funding source is cash from deposits, and our principal uses of cash include funding of loans, operating expenses, income taxes, and dividend payments, as described below. As of September 30, 2026, management believes the above-mentioned sources will provide adequate liquidity during the next twelve months for the Bank to meet its operating needs. In addition, in July 2026, the Company closed the 2026 Public Offering. The proceeds to the Company, after deducting underwriting discounts and commissions and offering expenses payable by the Company, were approximately $130.0 million, providing additional cash to support the Company’s ongoing operating needs.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Loans are a significant use of cash in daily operations, and a source of cash as customers make payments on their loans or as loans are sold to other financial institutions. Cash flows from loans are affected by the timing and amount of customer payments and prepayments, changes in interest rates, the general economic environment, competition, and the political environment.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we had cash outflows of $631.6 million in loan originations and advances, net of principal collected, and no loans originated for sale.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in the ordinary course of business, we enter into commitments to extend credit, such as commitments to fund new loans and undisbursed construction funds. While these commitments represent contractual cash requirements, a portion of these commitments to extend credit may expire without being drawn upon. Therefore, the total commitment amounts do not necessarily represent future cash requirements. At September 30, 2026, off-balance-sheet commitments totaled $673.0 million. We expect to fund these commitments to the extent utilized primarily through the repayment of existing loans, deposit growth, and liquid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Deposits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Deposits are our primary source of funding for our business operations, and the cost of deposits has a significant impact on our net interest income and net interest margin.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deposits are primarily made up of money market, interest-bearing transaction, time, and non-interest-bearing demand deposits. Aside from commercial and business clients, a significant portion of our deposits are from municipalities and non-profit organizations. Cash flows from deposits are impacted by the timing and amount of customer deposits, changes in market rates, and collateral availability.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2026, we had cash inflows of $623.4 million related to an increase in deposits.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twelve months following September 30, 2026, approximately $257.1 million of time deposits are expected to mature. After the twelve months following September 30, 2026, we expect $0.8 million of time deposits to mature through 2030. These deposits may or may not renew due to general competition. We expect the outflow will not be significant and can be replenished through our organic growth in deposits. We believe our emphasis on local deposits and our San Francisco Bay Area and Southern California expansions provide a stable funding base.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At September 30, 2026, cash and cash equivalents represented 14.08% of total deposits.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 Securities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investment securities totaled $84.2 million at September 30, 2026. Mortgage-backed securities and obligations of states and political subdivisions comprised 50.45% and 42.49% of our investment portfolio, respectively. Cash proceeds from mortgage-backed securities result from payments of principal and interest by borrowers. Cash proceeds from obligations of states and political subdivisions occur when these securities are called or mature. Assuming the current prepayment speed and interest rate environment, we expect to receive approximately $6.3 million from our securities over the twelve months following September 30, 2026. In future periods, we expect to maintain approximately the same level of cash flows from our securities. Depending on market yield and our liquidity, we may purchase securities as a use of cash in our interest-earning asset portfolio.</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we had cash proceeds from sales, maturities, calls, and prepayments of securities of $7.9 million. Additionally, at September 30, 2026, securities available-for-sale totaled $82.2 million, of which $77.6 million has been pledged as collateral for borrowings and other commitments.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FHLB Financing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is a shareholder of the FHLB, which enables the Bank to have access to lower-cost FHLB financing when necessary. At September 30, 2026, the Bank had no outstanding FHLB financing borrowings and a total financing availability of $552.2 million, net of letters of credit issued of $1.2 billion.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Federal Reserve Discount Window</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the ability to borrow from the Federal Reserve Discount Window when necessary. At September 30, 2026, the Bank had no outstanding Federal Reserve Discount Window borrowings and a total financing availability of $1.1 billion.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Correspondent Bank Lines of Credit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2026, the unused and available amount for borrowing from correspondent bank lines of credit was $185.0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Total Liquidity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liquidity (consisting of cash and cash equivalents and unused and immediately available borrowing capacity as set forth in Table 25) was approximately $2.5 billion as of September 30, 2026.</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25: Total Liquidity</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2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 w:type="dxa"/>
            <w:vAlign w:val="bottom"/>
          </w:tcPr>
          <w:p>
            <w:pPr>
              <w:spacing w:after="0"/>
              <w:rPr>
                <w:sz w:val="16"/>
                <w:szCs w:val="16"/>
                <w:color w:val="auto"/>
              </w:rPr>
            </w:pPr>
          </w:p>
        </w:tc>
        <w:tc>
          <w:tcPr>
            <w:tcW w:w="14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Line of Credit</w:t>
            </w:r>
          </w:p>
        </w:tc>
        <w:tc>
          <w:tcPr>
            <w:tcW w:w="8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Letters of Credit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Available</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4540" w:type="dxa"/>
            <w:vAlign w:val="bottom"/>
            <w:tcBorders>
              <w:bottom w:val="single" w:sz="8" w:color="CCEEFF"/>
            </w:tcBorders>
            <w:gridSpan w:val="2"/>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0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FHLB advances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1,714,154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1,162,000</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Reserve Discount Window</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1,110,142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1,110,142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Correspondent bank lines of credit</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4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679,482</w:t>
            </w: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4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3,009,296</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1,162,000</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2,526,778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 Contractual Obligations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estimated future contractual obligations as of September 30, 2026 include both current and long-term obligations. Under our operating leases, we have an operating lease liability of $11.9 million. We have a current obligation of $257.1 million and a long-term obligation of $0.8 million related to time deposits, as discussed in Note 5, Interest-Bearing Deposits. We have net subordinated notes of $74.2 million, all of which are long-term obligations. We also have contractual obligations on unfunded loan commitments and standby letters of credit totaling $673.0 million.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use of liquidity for the Company is shareholder dividends. The Company paid dividends to its shareholders totaling $6.1 million during the three months ended September 30, 2026.</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to continue our current practice of paying quarterly cash dividends with respect to our common stock, subject to our board of directors’ discretion to modify or terminate this practice at any time and for any reason without prior notice. We believe our quarterly dividend rate per share, as approved by our board of directors, enables us to balance our multiple objectives of managing our business and returning a portion of our earnings to our shareholders. Assuming continued payment during the rest of 2026 at a rate of $0.25 per share, our average total dividend paid each quarter would be approximately $6.1 million based on the number of currently outstanding shares if there are no increases or decreases in the number of shares, and given that unvested RSAs share equally in dividends with outstanding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Impact of Inflation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unaudited consolidated financial statements and related notes have been prepared in accordance with GAAP, which require the measurement of financial position and operating results in terms of historical dollars, without considering the changes in the relative purchasing power of money over time due to inflation. The impact of inflation is reflected in the increased cost of operations. Unlike industrial companies, nearly all of our assets and liabilities are monetary in nature. As a result, interest rates have a greater impact on our performance than do the effects of general levels of inflation. Interest rates do not necessarily move in the same direction or to the same extent as the price of goods or services.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4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Historical Information</w:t>
            </w: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5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Table 26 summarizes our consolidated cash flow activities.</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26: Consolidated Cash Flow Activities</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3240" w:type="dxa"/>
            <w:vAlign w:val="bottom"/>
            <w:tcBorders>
              <w:top w:val="single" w:sz="8" w:color="auto"/>
            </w:tcBorders>
          </w:tcPr>
          <w:p>
            <w:pPr>
              <w:spacing w:after="0"/>
              <w:rPr>
                <w:sz w:val="22"/>
                <w:szCs w:val="22"/>
                <w:color w:val="auto"/>
              </w:rPr>
            </w:pPr>
          </w:p>
        </w:tc>
        <w:tc>
          <w:tcPr>
            <w:tcW w:w="2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5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7"/>
        </w:trPr>
        <w:tc>
          <w:tcPr>
            <w:tcW w:w="20" w:type="dxa"/>
            <w:vAlign w:val="bottom"/>
            <w:shd w:val="clear" w:color="auto" w:fill="CCEEFF"/>
          </w:tcPr>
          <w:p>
            <w:pPr>
              <w:spacing w:after="0"/>
              <w:rPr>
                <w:sz w:val="20"/>
                <w:szCs w:val="20"/>
                <w:color w:val="auto"/>
              </w:rPr>
            </w:pPr>
          </w:p>
        </w:tc>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52,055</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17,148</w:t>
            </w:r>
          </w:p>
        </w:tc>
      </w:tr>
      <w:tr>
        <w:trPr>
          <w:trHeight w:val="243"/>
        </w:trPr>
        <w:tc>
          <w:tcPr>
            <w:tcW w:w="20" w:type="dxa"/>
            <w:vAlign w:val="bottom"/>
          </w:tcPr>
          <w:p>
            <w:pPr>
              <w:spacing w:after="0"/>
              <w:rPr>
                <w:sz w:val="21"/>
                <w:szCs w:val="21"/>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(633,215)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(356,583)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276,632</w:t>
            </w:r>
          </w:p>
        </w:tc>
      </w:tr>
      <w:tr>
        <w:trPr>
          <w:trHeight w:val="243"/>
        </w:trPr>
        <w:tc>
          <w:tcPr>
            <w:tcW w:w="20" w:type="dxa"/>
            <w:vAlign w:val="bottom"/>
            <w:shd w:val="clear" w:color="auto" w:fill="CCEEFF"/>
          </w:tcPr>
          <w:p>
            <w:pPr>
              <w:spacing w:after="0"/>
              <w:rPr>
                <w:sz w:val="21"/>
                <w:szCs w:val="21"/>
                <w:color w:val="auto"/>
              </w:rPr>
            </w:pPr>
          </w:p>
        </w:tc>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736,643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532,632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204,011</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increased by $17.1 million for the nine months ended September 30, 2026 compared to the nine months ended September 30, 2025, primarily due to higher net income, higher net changes in interest receivable and other assets, higher net changes in interest payable and other liabilities, higher depreciation and amortization, and a lack of loans originated for sale during the period. These sources of cash were partially offset by a lack of gross proceeds from sale of loans, as well as purchases of transferable tax credits and lower net change in operating lease liability. Cash provided by operating activities is subject to variability period-over-period as a result of timing differences, including with respect to the collection of receivables and payments of interest expense, accounts payable, and bonuses.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about our operating results, see “Results of Operations”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increased by $276.6 million for the nine months ended September 30, 2026 compared to the nine months ended September 30, 2025, primarily due to higher originations of loans held for investment, net of repayments.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increased by $204.0 million for the nine months ended September 30, 2026 compared to the nine months ended September 30, 2025, primarily due to proceeds from the 2026 Public Offering and an increase in deposits.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Capital Adequacy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capital by tracking our level and quality of capital with consideration given to our overall financial condition, our asset quality, our level of allowance for credit losses, our geographic and industry concentrations, and other risk factors on our balance sheet, including interest rate sensitivity.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Bancorp and the Bank are subject to various regulatory capital requirements administered by the federal and state banking agencies. Failure to meet minimum capital requirements as set forth in Tables 27 and 28 can initiate certain mandatory and possibly additional discretionary actions by regulators that, if undertaken, could have a material effect on our unaudited consolidated financial statements.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federal regulations implementing the Basel III framework, the Bank is subject to minimum risk-based and leverage capital requirements. The Bank is also subject to regulatory thresholds that must be met for an insured depository institution to be classified as “well-capitalized” under the prompt corrective action framework. Under capital adequacy guidelines and the regulatory framework for prompt corrective action, the Bank must meet specific capital guidelines that involve quantitative measures of its assets, liabilities, and certain off-balance-sheet items, as calculated under regulatory accounting practices. Capital amounts for Bancorp and the Bank, and the Bank’s prompt corrective action classification, are also subject to qualitative judgments by the regulators about components of capital, risk weightings, and other factors. As of September 30, 2026, both Bancorp and the Bank were in compliance with all applicable regulatory capital requirements, and the Bank qualified as “well-capitalized” under the prompt corrective action framework.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reviews capital ratios on a regular basis to ensure that capital exceeds the prescribed regulatory minimums and is adequate to meet our anticipated future needs. For all periods presented, the Bank’s ratios exceed the regulatory definition of “well-capitalized” under the regulatory framework for prompt corrective action, and Bancorp’s ratios exceed the minimum ratios required for it to be considered a well-capitalized bank holding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capital adequacy ratios as of September 30, 2026 and December 31, 2025 for Bancorp and the Bank are presented in Tables 27 and 28. As of September 30, 2026 and December 31, 2025, Bancorp’s Tier 2 capital included subordinated notes, which were not included at the Bank level. Eligible amounts of subordinated notes included in Tier 2 capital will be phased out by 20% per year beginning five years before the maturity date of the notes.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27: Capital Ratios for Bancorp</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5"/>
        </w:trPr>
        <w:tc>
          <w:tcPr>
            <w:tcW w:w="20" w:type="dxa"/>
            <w:vAlign w:val="bottom"/>
          </w:tcPr>
          <w:p>
            <w:pPr>
              <w:spacing w:after="0"/>
              <w:rPr>
                <w:sz w:val="22"/>
                <w:szCs w:val="22"/>
                <w:color w:val="auto"/>
              </w:rPr>
            </w:pPr>
          </w:p>
        </w:tc>
        <w:tc>
          <w:tcPr>
            <w:tcW w:w="2660" w:type="dxa"/>
            <w:vAlign w:val="bottom"/>
            <w:tcBorders>
              <w:top w:val="single" w:sz="8" w:color="auto"/>
            </w:tcBorders>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Ratio to be Well-Capitalized</w:t>
            </w:r>
          </w:p>
        </w:tc>
      </w:tr>
      <w:tr>
        <w:trPr>
          <w:trHeight w:val="202"/>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6"/>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Required for Capital Adequacy</w:t>
            </w:r>
          </w:p>
        </w:tc>
        <w:tc>
          <w:tcPr>
            <w:tcW w:w="2380" w:type="dxa"/>
            <w:vAlign w:val="bottom"/>
            <w:gridSpan w:val="3"/>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under Prompt Corrective</w:t>
            </w:r>
          </w:p>
        </w:tc>
      </w:tr>
      <w:tr>
        <w:trPr>
          <w:trHeight w:val="265"/>
        </w:trPr>
        <w:tc>
          <w:tcPr>
            <w:tcW w:w="2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Actual Ratio</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7"/>
              </w:rPr>
              <w:t>Purposes</w:t>
            </w:r>
            <w:r>
              <w:rPr>
                <w:rFonts w:ascii="Times New Roman" w:cs="Times New Roman" w:eastAsia="Times New Roman" w:hAnsi="Times New Roman"/>
                <w:sz w:val="23"/>
                <w:szCs w:val="23"/>
                <w:b w:val="1"/>
                <w:bCs w:val="1"/>
                <w:color w:val="auto"/>
                <w:w w:val="97"/>
                <w:vertAlign w:val="superscript"/>
              </w:rPr>
              <w:t>1</w:t>
            </w:r>
          </w:p>
        </w:tc>
        <w:tc>
          <w:tcPr>
            <w:tcW w:w="8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Action Provisions</w:t>
            </w:r>
          </w:p>
        </w:tc>
      </w:tr>
      <w:tr>
        <w:trPr>
          <w:trHeight w:val="263"/>
        </w:trPr>
        <w:tc>
          <w:tcPr>
            <w:tcW w:w="20" w:type="dxa"/>
            <w:vAlign w:val="bottom"/>
            <w:tcBorders>
              <w:bottom w:val="single" w:sz="8" w:color="auto"/>
            </w:tcBorders>
          </w:tcPr>
          <w:p>
            <w:pPr>
              <w:spacing w:after="0"/>
              <w:rPr>
                <w:sz w:val="22"/>
                <w:szCs w:val="22"/>
                <w:color w:val="auto"/>
              </w:rPr>
            </w:pPr>
          </w:p>
        </w:tc>
        <w:tc>
          <w:tcPr>
            <w:tcW w:w="3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Ratio</w:t>
            </w:r>
          </w:p>
        </w:tc>
      </w:tr>
      <w:tr>
        <w:trPr>
          <w:trHeight w:val="263"/>
        </w:trPr>
        <w:tc>
          <w:tcPr>
            <w:tcW w:w="20" w:type="dxa"/>
            <w:vAlign w:val="bottom"/>
            <w:shd w:val="clear" w:color="auto" w:fill="CCEEFF"/>
          </w:tcPr>
          <w:p>
            <w:pPr>
              <w:spacing w:after="0"/>
              <w:rPr>
                <w:sz w:val="22"/>
                <w:szCs w:val="22"/>
                <w:color w:val="auto"/>
              </w:rPr>
            </w:pPr>
          </w:p>
        </w:tc>
        <w:tc>
          <w:tcPr>
            <w:tcW w:w="3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753,091</w:t>
            </w:r>
          </w:p>
        </w:tc>
        <w:tc>
          <w:tcPr>
            <w:tcW w:w="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15.00 %</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401,641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tcPr>
          <w:p>
            <w:pPr>
              <w:spacing w:after="0"/>
              <w:rPr>
                <w:sz w:val="22"/>
                <w:szCs w:val="22"/>
                <w:color w:val="auto"/>
              </w:rPr>
            </w:pPr>
          </w:p>
        </w:tc>
        <w:tc>
          <w:tcPr>
            <w:tcW w:w="13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77"/>
        </w:trPr>
        <w:tc>
          <w:tcPr>
            <w:tcW w:w="20" w:type="dxa"/>
            <w:vAlign w:val="bottom"/>
            <w:shd w:val="clear" w:color="auto" w:fill="CCEEFF"/>
          </w:tcPr>
          <w:p>
            <w:pPr>
              <w:spacing w:after="0"/>
              <w:rPr>
                <w:sz w:val="24"/>
                <w:szCs w:val="24"/>
                <w:color w:val="auto"/>
              </w:rPr>
            </w:pPr>
          </w:p>
        </w:tc>
        <w:tc>
          <w:tcPr>
            <w:tcW w:w="3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628,659</w:t>
            </w:r>
          </w:p>
        </w:tc>
        <w:tc>
          <w:tcPr>
            <w:tcW w:w="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12.52 %</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301,231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25"/>
        </w:trPr>
        <w:tc>
          <w:tcPr>
            <w:tcW w:w="20" w:type="dxa"/>
            <w:vAlign w:val="bottom"/>
          </w:tcPr>
          <w:p>
            <w:pPr>
              <w:spacing w:after="0"/>
              <w:rPr>
                <w:sz w:val="19"/>
                <w:szCs w:val="19"/>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3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628,659</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12.52 %</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tcPr>
          <w:p>
            <w:pPr>
              <w:spacing w:after="0"/>
              <w:rPr>
                <w:sz w:val="20"/>
                <w:szCs w:val="20"/>
                <w:color w:val="auto"/>
              </w:rPr>
            </w:pPr>
          </w:p>
        </w:tc>
        <w:tc>
          <w:tcPr>
            <w:tcW w:w="13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77"/>
        </w:trPr>
        <w:tc>
          <w:tcPr>
            <w:tcW w:w="20" w:type="dxa"/>
            <w:vAlign w:val="bottom"/>
            <w:shd w:val="clear" w:color="auto" w:fill="CCEEFF"/>
          </w:tcPr>
          <w:p>
            <w:pPr>
              <w:spacing w:after="0"/>
              <w:rPr>
                <w:sz w:val="24"/>
                <w:szCs w:val="24"/>
                <w:color w:val="auto"/>
              </w:rPr>
            </w:pPr>
          </w:p>
        </w:tc>
        <w:tc>
          <w:tcPr>
            <w:tcW w:w="3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leverage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628,659</w:t>
            </w:r>
          </w:p>
        </w:tc>
        <w:tc>
          <w:tcPr>
            <w:tcW w:w="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11.21 %</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224,354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63"/>
        </w:trPr>
        <w:tc>
          <w:tcPr>
            <w:tcW w:w="20" w:type="dxa"/>
            <w:vAlign w:val="bottom"/>
          </w:tcPr>
          <w:p>
            <w:pPr>
              <w:spacing w:after="0"/>
              <w:rPr>
                <w:sz w:val="22"/>
                <w:szCs w:val="22"/>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3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572,874</w:t>
            </w:r>
          </w:p>
        </w:tc>
        <w:tc>
          <w:tcPr>
            <w:tcW w:w="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13.33 %</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343,779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63"/>
        </w:trPr>
        <w:tc>
          <w:tcPr>
            <w:tcW w:w="20" w:type="dxa"/>
            <w:vAlign w:val="bottom"/>
          </w:tcPr>
          <w:p>
            <w:pPr>
              <w:spacing w:after="0"/>
              <w:rPr>
                <w:sz w:val="22"/>
                <w:szCs w:val="22"/>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454,830</w:t>
            </w:r>
          </w:p>
        </w:tc>
        <w:tc>
          <w:tcPr>
            <w:tcW w:w="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10.58 %</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257,834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22"/>
                <w:szCs w:val="22"/>
                <w:color w:val="auto"/>
              </w:rPr>
            </w:pPr>
          </w:p>
        </w:tc>
        <w:tc>
          <w:tcPr>
            <w:tcW w:w="13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31"/>
        </w:trPr>
        <w:tc>
          <w:tcPr>
            <w:tcW w:w="20" w:type="dxa"/>
            <w:vAlign w:val="bottom"/>
            <w:shd w:val="clear" w:color="auto" w:fill="CCEEFF"/>
          </w:tcPr>
          <w:p>
            <w:pPr>
              <w:spacing w:after="0"/>
              <w:rPr>
                <w:sz w:val="20"/>
                <w:szCs w:val="20"/>
                <w:color w:val="auto"/>
              </w:rPr>
            </w:pPr>
          </w:p>
        </w:tc>
        <w:tc>
          <w:tcPr>
            <w:tcW w:w="3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48"/>
        </w:trPr>
        <w:tc>
          <w:tcPr>
            <w:tcW w:w="20" w:type="dxa"/>
            <w:vAlign w:val="bottom"/>
            <w:shd w:val="clear" w:color="auto" w:fill="CCEEFF"/>
          </w:tcPr>
          <w:p>
            <w:pPr>
              <w:spacing w:after="0"/>
              <w:rPr>
                <w:sz w:val="21"/>
                <w:szCs w:val="21"/>
                <w:color w:val="auto"/>
              </w:rPr>
            </w:pPr>
          </w:p>
        </w:tc>
        <w:tc>
          <w:tcPr>
            <w:tcW w:w="36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454,830</w:t>
            </w: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193,376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57"/>
        </w:trPr>
        <w:tc>
          <w:tcPr>
            <w:tcW w:w="20" w:type="dxa"/>
            <w:vAlign w:val="bottom"/>
          </w:tcPr>
          <w:p>
            <w:pPr>
              <w:spacing w:after="0"/>
              <w:rPr>
                <w:sz w:val="22"/>
                <w:szCs w:val="22"/>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leverage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454,830</w:t>
            </w:r>
          </w:p>
        </w:tc>
        <w:tc>
          <w:tcPr>
            <w:tcW w:w="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9.70 %</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187,499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22"/>
                <w:szCs w:val="22"/>
                <w:color w:val="auto"/>
              </w:rPr>
            </w:pPr>
          </w:p>
        </w:tc>
        <w:tc>
          <w:tcPr>
            <w:tcW w:w="13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N/A</w:t>
            </w:r>
          </w:p>
        </w:tc>
      </w:tr>
      <w:tr>
        <w:trPr>
          <w:trHeight w:val="918"/>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28: Capital Ratios for the Bank</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5"/>
        </w:trPr>
        <w:tc>
          <w:tcPr>
            <w:tcW w:w="20" w:type="dxa"/>
            <w:vAlign w:val="bottom"/>
          </w:tcPr>
          <w:p>
            <w:pPr>
              <w:spacing w:after="0"/>
              <w:rPr>
                <w:sz w:val="22"/>
                <w:szCs w:val="22"/>
                <w:color w:val="auto"/>
              </w:rPr>
            </w:pPr>
          </w:p>
        </w:tc>
        <w:tc>
          <w:tcPr>
            <w:tcW w:w="2700" w:type="dxa"/>
            <w:vAlign w:val="bottom"/>
            <w:tcBorders>
              <w:top w:val="single" w:sz="8" w:color="auto"/>
            </w:tcBorders>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36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Ratio to be Well-Capitalized</w:t>
            </w:r>
          </w:p>
        </w:tc>
      </w:tr>
      <w:tr>
        <w:trPr>
          <w:trHeight w:val="203"/>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gridSpan w:val="6"/>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Required for Capital Adequacy</w:t>
            </w:r>
          </w:p>
        </w:tc>
        <w:tc>
          <w:tcPr>
            <w:tcW w:w="140" w:type="dxa"/>
            <w:vAlign w:val="bottom"/>
          </w:tcPr>
          <w:p>
            <w:pPr>
              <w:spacing w:after="0"/>
              <w:rPr>
                <w:sz w:val="17"/>
                <w:szCs w:val="17"/>
                <w:color w:val="auto"/>
              </w:rPr>
            </w:pPr>
          </w:p>
        </w:tc>
        <w:tc>
          <w:tcPr>
            <w:tcW w:w="2360" w:type="dxa"/>
            <w:vAlign w:val="bottom"/>
            <w:gridSpan w:val="3"/>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under Prompt Corrective</w:t>
            </w:r>
          </w:p>
        </w:tc>
      </w:tr>
      <w:tr>
        <w:trPr>
          <w:trHeight w:val="265"/>
        </w:trPr>
        <w:tc>
          <w:tcPr>
            <w:tcW w:w="2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Actual Ratio</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Purposes</w:t>
            </w:r>
            <w:r>
              <w:rPr>
                <w:rFonts w:ascii="Times New Roman" w:cs="Times New Roman" w:eastAsia="Times New Roman" w:hAnsi="Times New Roman"/>
                <w:sz w:val="23"/>
                <w:szCs w:val="23"/>
                <w:b w:val="1"/>
                <w:bCs w:val="1"/>
                <w:color w:val="auto"/>
                <w:vertAlign w:val="superscript"/>
              </w:rPr>
              <w:t>1</w:t>
            </w:r>
          </w:p>
        </w:tc>
        <w:tc>
          <w:tcPr>
            <w:tcW w:w="8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Action Provisions</w:t>
            </w:r>
          </w:p>
        </w:tc>
      </w:tr>
      <w:tr>
        <w:trPr>
          <w:trHeight w:val="263"/>
        </w:trPr>
        <w:tc>
          <w:tcPr>
            <w:tcW w:w="2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Ratio</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Ratio</w:t>
            </w:r>
          </w:p>
        </w:tc>
      </w:tr>
      <w:tr>
        <w:trPr>
          <w:trHeight w:val="263"/>
        </w:trPr>
        <w:tc>
          <w:tcPr>
            <w:tcW w:w="20" w:type="dxa"/>
            <w:vAlign w:val="bottom"/>
            <w:shd w:val="clear" w:color="auto" w:fill="CCEEFF"/>
          </w:tcPr>
          <w:p>
            <w:pPr>
              <w:spacing w:after="0"/>
              <w:rPr>
                <w:sz w:val="22"/>
                <w:szCs w:val="22"/>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732,156</w:t>
            </w:r>
          </w:p>
        </w:tc>
        <w:tc>
          <w:tcPr>
            <w:tcW w:w="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14.63 %</w:t>
            </w:r>
          </w:p>
        </w:tc>
        <w:tc>
          <w:tcPr>
            <w:tcW w:w="10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400,563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500,704</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7"/>
        </w:trPr>
        <w:tc>
          <w:tcPr>
            <w:tcW w:w="20" w:type="dxa"/>
            <w:vAlign w:val="bottom"/>
            <w:shd w:val="clear" w:color="auto" w:fill="CCEEFF"/>
          </w:tcPr>
          <w:p>
            <w:pPr>
              <w:spacing w:after="0"/>
              <w:rPr>
                <w:sz w:val="24"/>
                <w:szCs w:val="24"/>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681,874</w:t>
            </w: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13.62 %</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300,422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400,563</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25"/>
        </w:trPr>
        <w:tc>
          <w:tcPr>
            <w:tcW w:w="20" w:type="dxa"/>
            <w:vAlign w:val="bottom"/>
          </w:tcPr>
          <w:p>
            <w:pPr>
              <w:spacing w:after="0"/>
              <w:rPr>
                <w:sz w:val="19"/>
                <w:szCs w:val="19"/>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3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681,874</w:t>
            </w: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13.62 %</w:t>
            </w:r>
          </w:p>
        </w:tc>
        <w:tc>
          <w:tcPr>
            <w:tcW w:w="10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325,457</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77"/>
        </w:trPr>
        <w:tc>
          <w:tcPr>
            <w:tcW w:w="20" w:type="dxa"/>
            <w:vAlign w:val="bottom"/>
            <w:shd w:val="clear" w:color="auto" w:fill="CCEEFF"/>
          </w:tcPr>
          <w:p>
            <w:pPr>
              <w:spacing w:after="0"/>
              <w:rPr>
                <w:sz w:val="24"/>
                <w:szCs w:val="24"/>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leverage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681,874</w:t>
            </w: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12.16 %</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224,232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280,290</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63"/>
        </w:trPr>
        <w:tc>
          <w:tcPr>
            <w:tcW w:w="20" w:type="dxa"/>
            <w:vAlign w:val="bottom"/>
          </w:tcPr>
          <w:p>
            <w:pPr>
              <w:spacing w:after="0"/>
              <w:rPr>
                <w:sz w:val="22"/>
                <w:szCs w:val="22"/>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554,071</w:t>
            </w: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12.92 %</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342,984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428,729</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63"/>
        </w:trPr>
        <w:tc>
          <w:tcPr>
            <w:tcW w:w="20" w:type="dxa"/>
            <w:vAlign w:val="bottom"/>
          </w:tcPr>
          <w:p>
            <w:pPr>
              <w:spacing w:after="0"/>
              <w:rPr>
                <w:sz w:val="22"/>
                <w:szCs w:val="22"/>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510,067</w:t>
            </w:r>
          </w:p>
        </w:tc>
        <w:tc>
          <w:tcPr>
            <w:tcW w:w="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11.89 %</w:t>
            </w:r>
          </w:p>
        </w:tc>
        <w:tc>
          <w:tcPr>
            <w:tcW w:w="10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257,238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342,984</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31"/>
        </w:trPr>
        <w:tc>
          <w:tcPr>
            <w:tcW w:w="20" w:type="dxa"/>
            <w:vAlign w:val="bottom"/>
            <w:shd w:val="clear" w:color="auto" w:fill="CCEEFF"/>
          </w:tcPr>
          <w:p>
            <w:pPr>
              <w:spacing w:after="0"/>
              <w:rPr>
                <w:sz w:val="20"/>
                <w:szCs w:val="20"/>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48"/>
        </w:trPr>
        <w:tc>
          <w:tcPr>
            <w:tcW w:w="20" w:type="dxa"/>
            <w:vAlign w:val="bottom"/>
            <w:shd w:val="clear" w:color="auto" w:fill="CCEEFF"/>
          </w:tcPr>
          <w:p>
            <w:pPr>
              <w:spacing w:after="0"/>
              <w:rPr>
                <w:sz w:val="21"/>
                <w:szCs w:val="21"/>
                <w:color w:val="auto"/>
              </w:rPr>
            </w:pPr>
          </w:p>
        </w:tc>
        <w:tc>
          <w:tcPr>
            <w:tcW w:w="35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510,067</w:t>
            </w: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192,928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278,674</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57"/>
        </w:trPr>
        <w:tc>
          <w:tcPr>
            <w:tcW w:w="20" w:type="dxa"/>
            <w:vAlign w:val="bottom"/>
          </w:tcPr>
          <w:p>
            <w:pPr>
              <w:spacing w:after="0"/>
              <w:rPr>
                <w:sz w:val="22"/>
                <w:szCs w:val="22"/>
                <w:color w:val="auto"/>
              </w:rPr>
            </w:pPr>
          </w:p>
        </w:tc>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leverage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510,067</w:t>
            </w:r>
          </w:p>
        </w:tc>
        <w:tc>
          <w:tcPr>
            <w:tcW w:w="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10.89 %</w:t>
            </w:r>
          </w:p>
        </w:tc>
        <w:tc>
          <w:tcPr>
            <w:tcW w:w="10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187,409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234,261</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bl>
    <w:p>
      <w:pPr>
        <w:spacing w:after="0" w:line="276"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listed capital adequacy ratios exclude capital conservation buffers.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the financial measures discussed herein are non-GAAP financial measures. In accordance with SEC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in our consolidated statements of income, balance sheets, statements of shareholders’ equity, or statements of cash flows.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Management believes that tangible shareholders’ equity to tangible assets is a useful financial measure because it enables management, investors, and others to assess the Company’s financial health based on tangible capital. We had no goodwill or other intangible assets at the end of any period indicated. As a result, tangible shareholders’ equity to tangible assets is the same as total shareholders’ equity to total assets at the end of each of the periods indicated.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Tangible book value per share is defined as total shareholders’ equity less goodwill and other intangible assets, divided by the outstanding number of common shares at the end of the period. The most directly comparable GAAP financial measure is book value per share. Management believes that tangible book value per share is a useful financial measure because it enables management, investors, and others to assess the Company’s value and use of equity. We had no goodwill or other intangible assets at the end of any period indicated. As a result, tangible book value per share is the same as book value per share at the end of each of the periods indicated.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these non-GAAP financial measures provide useful information to management and investors that is supplementary to our financial condition, results of operations, and cash flows computed in accordance with GAAP. However, we acknowledge that our non-GAAP financial measures have a number of limitations. As such, you should not view these disclosures as a substitute for results determined in accordance with GAAP, and they are not necessarily comparable to non-GAAP financial measures that other banking companies use. Other banking companies may use names similar to those we use for the non-GAAP financial measures we disclose, but may calculate them differently. You should understand how we and other companies each calculate our non-GAAP financial measures when making comparisons.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Recent Legislative and Regulatory Developments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19, 2026, the federal banking agencies issued several proposals to revise the U.S. regulatory capital framework. The proposals would, among other things, modify aspects of the standardized approach to risk-based capital that applies to the Company, including to make the risk weights for certain residential mortgage exposures more risk-sensitive and decrease the risk weights of corporate exposures, which could affect certain aspects of the Company’s regulatory capital calculations. The Company is continuing to evaluate these proposals and their potential impact on its regulatory capital position.</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June 25, 2026, the FDIC issued a proposal to revise deposit insurance assessment thresholds, rate schedules, and adjustments. Among other changes, the proposal would reduce initial base assessment rate schedules applicable to small institutions, including the Bank, by two basis points. The Company is continuing to evaluate the proposal and its potential impact on the Bank.</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11, 2026, the 21st Century ROAD to Housing Act (the “Housing Act”) became law. The Housing Act is generally designed to incentivize new home construction, including through changes to certain banking laws to which the Bank is subject. Among other changes, Sections 901 and 902 of the Housing Act expanded the types of custodial deposits and amounts of reciprocal deposits, respectively, that may be excluded from treatment as brokered deposits. In addition, Section 903 of the Housing Act increased from $3 billion to $6 billion the maximum asset size for certain well-rated insured depository institutions to qualify for less frequent safety-and-soundness examinations by their primary federal regulator, allowing eligible institutions to be examined every 18 months instead of every 12 months. The Company is continuing to evaluate the Housing Act and its potential impacts on us.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31, 2026, the FDIC and the Office of the Comptroller of the Currency issued a proposal that would revise how they evaluate an insured depository institution’s record of satisfying the credit needs of its entire community, including low- and moderate- income individuals and neighborhoods, under the Community Reinvestment Act. Among other changes, the proposal would revise the asset thresholds and performance standards applicable to banks of different sizes; reduce certain data collection, maintenance, and reporting requirements for banks with $10 billion or less in assets, which would include the Bank, and modify the evaluation of retail lending and community development activities. We are continuing to evaluate the potential impact of the proposal on the Bank.</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17, 2026, the FDIC issued a proposal that would revise its regulations governing the review of merger transactions under the Bank Merger Act. The proposal would make changes intended to expedite the processing of merger applications, including by establishing shorter review periods and streamlined filing requirements for certain smaller transactions and corporate reorganizations, and revise the FDIC’s analysis of competitive effects in local markets, including by taking into account the market share of competing credit unions. We are continuing to evaluate the proposal and its potential impact on the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 risk is the risk of loss from adverse changes in market prices and rates. As a financial institution, the Company experiences market risk arising primarily from interest rate risk inherent in lending and deposit-taking activities. Because the interest rates on the Company’s assets and liabilities do not necessarily change at the same speed or rate as market interest rates, sudden and/or substantial changes in interest rates may adversely impact our earnings. In particular, the Company’s financial results are sensitive to significant changes in the treasury yield curve, the federal funds rate, and the Wall Street Journal Prime Index.</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total interest income was $79.2 million for the three months ended September 30, 2026 and $248.9 million for the year ended December 31, 2025. Our total interest expense was $28.2 million for the three months ended September 30, 2026 and $97.0 million for the year ended December 31, 2025. Overall, our net interest income was $50.9 million for the three months ended September 30, 2026 and $151.9 million for the year ended December 31, 2025.</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Economic value of equity (“EVE”) measures our long-term earnings exposure from changes in market rates of interest. EVE is defined as the present value of assets minus the present value of liabilities at a point in time for a given set of market rate assumptions. An increase in EVE due to a specified rate change indicates an improvement in the long-term earnings capacity of the balance sheet, assuming that the rate change remains in effect over the life of the current balance sheet. As of September 30, 2026, the Company carried a higher balance of liabilities than assets that will reprice within the next twelve months in the event that interest rates fall.</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policies and procedures provide management with guidelines for effective funds management, and we have established a measurement system for monitoring our net interest rate sensitivity position. This is overseen and adjusted as needed by our Management Asset Liability Committee on a monthly basis and our Director Asset Liability Committee on a quarterly basis. We have historically managed our sensitivity position within our established guidelines. With the intent of stabilizing or increasing net interest income, management typically deploys the Company’s excess liquidity and seeks to migrate certain earning assets into higher-yielding categories (from investment securities into loans, for example). However, in situations where deposit balances contract, management relies upon various borrowing facilities and/or the use of brokered deposits. The Company monitors the impact of interest rate risk on EVE by reviewing and managing assets and liabilities with varying interest rate risks, such as cash and time deposits. Assets and liabilities are subject to fluctuations at each measurement date based on the composition of the balance sheet at each measurement date. EVE results are compared to previous periods and established policies on a quarterly basis.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the overnight federal funds rate (the rate used in the interest rate shock scenarios listed below) was 3.88%, increasing from 3.64% at December 31, 2025. The scenarios presented assume that interest rates change instantaneously (“shock”) and that there are no significant changes in the structure of the Company’s balance sheet over the twelve months being measured.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Table 29 summarizes the estimated effect on net interest income (“NII”) and EVE from changing interest rates as measured against a flat rate (no interest rate change) instantaneous parallel shock scenario over a twelve-month period utilizing an interest sensitivity (GAP) analysis based on the Company’s specific mix of interest-earning assets and interest-bearing liabilities as of September 30, 2026 and December 31, 2025.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3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Table 29: Estimated Effect on NII and EVE from Changing Interest Rates</w:t>
            </w:r>
          </w:p>
        </w:tc>
        <w:tc>
          <w:tcPr>
            <w:tcW w:w="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40" w:type="dxa"/>
            <w:vAlign w:val="bottom"/>
            <w:tcBorders>
              <w:bottom w:val="single" w:sz="8" w:color="auto"/>
            </w:tcBorders>
            <w:gridSpan w:val="4"/>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00" w:type="dxa"/>
            <w:vAlign w:val="bottom"/>
          </w:tcPr>
          <w:p>
            <w:pPr>
              <w:spacing w:after="0"/>
              <w:rPr>
                <w:sz w:val="22"/>
                <w:szCs w:val="22"/>
                <w:color w:val="auto"/>
              </w:rPr>
            </w:pPr>
          </w:p>
        </w:tc>
        <w:tc>
          <w:tcPr>
            <w:tcW w:w="3860" w:type="dxa"/>
            <w:vAlign w:val="bottom"/>
            <w:tcBorders>
              <w:bottom w:val="single" w:sz="8" w:color="auto"/>
            </w:tcBorders>
            <w:gridSpan w:val="3"/>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Change in Interest Rates</w:t>
            </w:r>
          </w:p>
        </w:tc>
        <w:tc>
          <w:tcPr>
            <w:tcW w:w="100" w:type="dxa"/>
            <w:vAlign w:val="bottom"/>
          </w:tcPr>
          <w:p>
            <w:pPr>
              <w:spacing w:after="0"/>
              <w:rPr>
                <w:sz w:val="17"/>
                <w:szCs w:val="17"/>
                <w:color w:val="auto"/>
              </w:rPr>
            </w:pPr>
          </w:p>
        </w:tc>
        <w:tc>
          <w:tcPr>
            <w:tcW w:w="1960" w:type="dxa"/>
            <w:vAlign w:val="bottom"/>
            <w:gridSpan w:val="3"/>
          </w:tcPr>
          <w:p>
            <w:pPr>
              <w:jc w:val="center"/>
              <w:ind w:right="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Estimated Change in</w:t>
            </w:r>
          </w:p>
        </w:tc>
        <w:tc>
          <w:tcPr>
            <w:tcW w:w="198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b w:val="1"/>
                <w:bCs w:val="1"/>
                <w:color w:val="auto"/>
              </w:rPr>
              <w:t>Estimated Change in</w:t>
            </w:r>
          </w:p>
        </w:tc>
        <w:tc>
          <w:tcPr>
            <w:tcW w:w="196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Estimated Change in</w:t>
            </w:r>
          </w:p>
        </w:tc>
        <w:tc>
          <w:tcPr>
            <w:tcW w:w="1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Estimated Change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3"/>
            <w:vMerge w:val="restart"/>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rPr>
              <w:t>NII</w:t>
            </w:r>
          </w:p>
        </w:tc>
        <w:tc>
          <w:tcPr>
            <w:tcW w:w="1980" w:type="dxa"/>
            <w:vAlign w:val="bottom"/>
            <w:gridSpan w:val="2"/>
            <w:vMerge w:val="restart"/>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rPr>
              <w:t>EVE</w:t>
            </w:r>
          </w:p>
        </w:tc>
        <w:tc>
          <w:tcPr>
            <w:tcW w:w="1960" w:type="dxa"/>
            <w:vAlign w:val="bottom"/>
            <w:gridSpan w:val="2"/>
            <w:vMerge w:val="restart"/>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rPr>
              <w:t>NII</w:t>
            </w:r>
          </w:p>
        </w:tc>
        <w:tc>
          <w:tcPr>
            <w:tcW w:w="190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7"/>
              </w:rPr>
              <w:t>EVE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basis points)</w:t>
            </w:r>
          </w:p>
        </w:tc>
        <w:tc>
          <w:tcPr>
            <w:tcW w:w="100" w:type="dxa"/>
            <w:vAlign w:val="bottom"/>
          </w:tcPr>
          <w:p>
            <w:pPr>
              <w:spacing w:after="0"/>
              <w:rPr>
                <w:sz w:val="2"/>
                <w:szCs w:val="2"/>
                <w:color w:val="auto"/>
              </w:rPr>
            </w:pPr>
          </w:p>
        </w:tc>
        <w:tc>
          <w:tcPr>
            <w:tcW w:w="1960" w:type="dxa"/>
            <w:vAlign w:val="bottom"/>
            <w:gridSpan w:val="3"/>
            <w:vMerge w:val="continue"/>
          </w:tcPr>
          <w:p>
            <w:pPr>
              <w:spacing w:after="0"/>
              <w:rPr>
                <w:sz w:val="2"/>
                <w:szCs w:val="2"/>
                <w:color w:val="auto"/>
              </w:rPr>
            </w:pPr>
          </w:p>
        </w:tc>
        <w:tc>
          <w:tcPr>
            <w:tcW w:w="1980" w:type="dxa"/>
            <w:vAlign w:val="bottom"/>
            <w:gridSpan w:val="2"/>
            <w:vMerge w:val="continue"/>
          </w:tcPr>
          <w:p>
            <w:pPr>
              <w:spacing w:after="0"/>
              <w:rPr>
                <w:sz w:val="2"/>
                <w:szCs w:val="2"/>
                <w:color w:val="auto"/>
              </w:rPr>
            </w:pPr>
          </w:p>
        </w:tc>
        <w:tc>
          <w:tcPr>
            <w:tcW w:w="1960" w:type="dxa"/>
            <w:vAlign w:val="bottom"/>
            <w:gridSpan w:val="2"/>
            <w:vMerge w:val="continue"/>
          </w:tcPr>
          <w:p>
            <w:pPr>
              <w:spacing w:after="0"/>
              <w:rPr>
                <w:sz w:val="2"/>
                <w:szCs w:val="2"/>
                <w:color w:val="auto"/>
              </w:rPr>
            </w:pPr>
          </w:p>
        </w:tc>
        <w:tc>
          <w:tcPr>
            <w:tcW w:w="19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(as % of NII)</w:t>
            </w:r>
          </w:p>
        </w:tc>
        <w:tc>
          <w:tcPr>
            <w:tcW w:w="80" w:type="dxa"/>
            <w:vAlign w:val="bottom"/>
            <w:tcBorders>
              <w:bottom w:val="single" w:sz="8" w:color="CCEEFF"/>
            </w:tcBorders>
            <w:gridSpan w:val="2"/>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(as % of EVE)</w:t>
            </w:r>
          </w:p>
        </w:tc>
        <w:tc>
          <w:tcPr>
            <w:tcW w:w="10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 % of NII)</w:t>
            </w:r>
          </w:p>
        </w:tc>
        <w:tc>
          <w:tcPr>
            <w:tcW w:w="8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(as % of EVE)</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+300 (shock)</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+200 (shock)</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 (shock)</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80" w:type="dxa"/>
            <w:vAlign w:val="bottom"/>
            <w:shd w:val="clear" w:color="auto" w:fill="CCEEFF"/>
          </w:tcPr>
          <w:p>
            <w:pPr>
              <w:spacing w:after="0"/>
              <w:rPr>
                <w:sz w:val="24"/>
                <w:szCs w:val="2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+ 0 (flat)</w:t>
            </w:r>
          </w:p>
        </w:tc>
        <w:tc>
          <w:tcPr>
            <w:tcW w:w="100" w:type="dxa"/>
            <w:vAlign w:val="bottom"/>
          </w:tcPr>
          <w:p>
            <w:pPr>
              <w:spacing w:after="0"/>
              <w:rPr>
                <w:sz w:val="22"/>
                <w:szCs w:val="22"/>
                <w:color w:val="auto"/>
              </w:rPr>
            </w:pPr>
          </w:p>
        </w:tc>
        <w:tc>
          <w:tcPr>
            <w:tcW w:w="1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 (shock)</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0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0.86 %</w:t>
            </w:r>
          </w:p>
        </w:tc>
        <w:tc>
          <w:tcPr>
            <w:tcW w:w="80" w:type="dxa"/>
            <w:vAlign w:val="bottom"/>
            <w:shd w:val="clear" w:color="auto" w:fill="CCEEFF"/>
          </w:tcPr>
          <w:p>
            <w:pPr>
              <w:spacing w:after="0"/>
              <w:rPr>
                <w:sz w:val="24"/>
                <w:szCs w:val="2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-200 (shock)</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10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8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4.07 %</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-300 (shock)</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5.74 %</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10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9.44 %</w:t>
            </w:r>
          </w:p>
        </w:tc>
        <w:tc>
          <w:tcPr>
            <w:tcW w:w="80" w:type="dxa"/>
            <w:vAlign w:val="bottom"/>
            <w:shd w:val="clear" w:color="auto" w:fill="CCEEFF"/>
          </w:tcPr>
          <w:p>
            <w:pPr>
              <w:spacing w:after="0"/>
              <w:rPr>
                <w:sz w:val="24"/>
                <w:szCs w:val="2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8.79 %</w:t>
            </w:r>
          </w:p>
        </w:tc>
        <w:tc>
          <w:tcPr>
            <w:tcW w:w="0" w:type="dxa"/>
            <w:vAlign w:val="bottom"/>
          </w:tcPr>
          <w:p>
            <w:pPr>
              <w:spacing w:after="0"/>
              <w:rPr>
                <w:sz w:val="1"/>
                <w:szCs w:val="1"/>
                <w:color w:val="auto"/>
              </w:rPr>
            </w:pPr>
          </w:p>
        </w:tc>
      </w:tr>
      <w:tr>
        <w:trPr>
          <w:trHeight w:val="904"/>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6" w:name="page77"/>
    <w:bookmarkEnd w:id="76"/>
    <w:p>
      <w:pPr>
        <w:jc w:val="both"/>
        <w:spacing w:after="0" w:line="261" w:lineRule="auto"/>
        <w:rPr>
          <w:sz w:val="20"/>
          <w:szCs w:val="20"/>
          <w:color w:val="auto"/>
        </w:rPr>
      </w:pPr>
      <w:r>
        <w:rPr>
          <w:rFonts w:ascii="Times New Roman" w:cs="Times New Roman" w:eastAsia="Times New Roman" w:hAnsi="Times New Roman"/>
          <w:sz w:val="18"/>
          <w:szCs w:val="18"/>
          <w:color w:val="auto"/>
        </w:rPr>
        <w:t>The computation of the prospective effects of hypothetical interest rate changes requires numerous assumptions, which are based upon our experience and published industry experience including, but not limited to, assumptions relating to expected maturities, hypothetical changes in interest rates, decay rates, and deposit betas. Such assumptions may not necessarily reflect the manner or timing in which our interest-earning assets and interest-bearing liabilities respond to changes in market rates. Because these assumptions are inherently uncertain, actual results will differ from simulated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conducted an evaluation of the effectiveness of the design and operation of our disclosure controls and procedures, as defined in Rule 13a-15(e) under the Securities Exchange Act of 1934, as amended (the “Exchange Act”), as of September 30, 2026.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and implementing its controls and procedures. Based on this evaluation, our Chief Executive Officer and Chief Financial Officer concluded that our disclosure controls and procedures were effective as of the end of the fiscal quarter covered by this Quarterly Report on Form 10-Q.</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such term is defined in Rule 13a-15(f) under the Exchange Act) that occurred during the three months ended September 30, 2026 that has materially affected, or is reasonably likely to materially affect, such controls.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are a party to various litigation matters incidental to the conduct of our business. We do not believe that any currently pending legal proceedings will have a material adverse effect on our business, financial condition, 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under Item 1A of the Company’s 2025 Annual Report on Form 10-K, previously filed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8160" w:firstLine="8"/>
        <w:spacing w:after="0" w:line="500" w:lineRule="auto"/>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Unregistered Sales of Equity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right="8320" w:firstLine="8"/>
        <w:spacing w:after="0" w:line="498" w:lineRule="auto"/>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Issuer Purchases of Equity Securities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none of our directors or executive officers adopted or terminated any contract, instruction, or written plan for the purchase or sale of our securities that was intended to satisfy the affirmative defense conditions of Rule 10b5-1(c) or any “non-Rule 10b5-1 trading arrangement”.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report or hereby incorporated by reference to filings previously made with the SEC.</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180" w:type="dxa"/>
            <w:vAlign w:val="bottom"/>
          </w:tcPr>
          <w:p>
            <w:pPr>
              <w:spacing w:after="0"/>
              <w:rPr>
                <w:sz w:val="21"/>
                <w:szCs w:val="21"/>
                <w:color w:val="auto"/>
              </w:rPr>
            </w:pPr>
          </w:p>
        </w:tc>
      </w:tr>
      <w:tr>
        <w:trPr>
          <w:trHeight w:val="20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5"/>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340" w:type="dxa"/>
            <w:vAlign w:val="bottom"/>
            <w:tcBorders>
              <w:bottom w:val="single" w:sz="8" w:color="auto"/>
            </w:tcBorders>
          </w:tcPr>
          <w:p>
            <w:pPr>
              <w:spacing w:after="0"/>
              <w:rPr>
                <w:sz w:val="21"/>
                <w:szCs w:val="21"/>
                <w:color w:val="auto"/>
              </w:rPr>
            </w:pPr>
          </w:p>
        </w:tc>
        <w:tc>
          <w:tcPr>
            <w:tcW w:w="3620" w:type="dxa"/>
            <w:vAlign w:val="bottom"/>
            <w:tcBorders>
              <w:bottom w:val="single" w:sz="8" w:color="auto"/>
            </w:tcBorders>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21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w:t>
            </w: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w:t>
            </w:r>
          </w:p>
        </w:tc>
      </w:tr>
      <w:tr>
        <w:trPr>
          <w:trHeight w:val="183"/>
        </w:trPr>
        <w:tc>
          <w:tcPr>
            <w:tcW w:w="1020" w:type="dxa"/>
            <w:vAlign w:val="bottom"/>
          </w:tcPr>
          <w:p>
            <w:pPr>
              <w:spacing w:after="0"/>
              <w:rPr>
                <w:sz w:val="15"/>
                <w:szCs w:val="15"/>
                <w:color w:val="auto"/>
              </w:rPr>
            </w:pPr>
          </w:p>
        </w:tc>
        <w:tc>
          <w:tcPr>
            <w:tcW w:w="488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14(a)/15d-14(a),  as  adopted  pursuant  to  Section  302  of  the</w:t>
            </w: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20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90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w:t>
            </w:r>
          </w:p>
        </w:tc>
        <w:tc>
          <w:tcPr>
            <w:tcW w:w="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w:t>
            </w:r>
          </w:p>
        </w:tc>
      </w:tr>
      <w:tr>
        <w:trPr>
          <w:trHeight w:val="183"/>
        </w:trPr>
        <w:tc>
          <w:tcPr>
            <w:tcW w:w="1020" w:type="dxa"/>
            <w:vAlign w:val="bottom"/>
          </w:tcPr>
          <w:p>
            <w:pPr>
              <w:spacing w:after="0"/>
              <w:rPr>
                <w:sz w:val="15"/>
                <w:szCs w:val="15"/>
                <w:color w:val="auto"/>
              </w:rPr>
            </w:pPr>
          </w:p>
        </w:tc>
        <w:tc>
          <w:tcPr>
            <w:tcW w:w="4900" w:type="dxa"/>
            <w:vAlign w:val="bottom"/>
            <w:tcBorders>
              <w:top w:val="single" w:sz="8" w:color="0000FF"/>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14(a)/15d-14(a),  as  adopted  pursuant  to  Section  302  of  the</w:t>
            </w: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20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90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w:t>
            </w:r>
          </w:p>
        </w:tc>
        <w:tc>
          <w:tcPr>
            <w:tcW w:w="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w:t>
            </w:r>
          </w:p>
        </w:tc>
      </w:tr>
      <w:tr>
        <w:trPr>
          <w:trHeight w:val="183"/>
        </w:trPr>
        <w:tc>
          <w:tcPr>
            <w:tcW w:w="102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49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5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32.2</w:t>
            </w: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w:t>
            </w:r>
          </w:p>
        </w:tc>
        <w:tc>
          <w:tcPr>
            <w:tcW w:w="7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w:t>
            </w:r>
          </w:p>
        </w:tc>
      </w:tr>
      <w:tr>
        <w:trPr>
          <w:trHeight w:val="183"/>
        </w:trPr>
        <w:tc>
          <w:tcPr>
            <w:tcW w:w="1020" w:type="dxa"/>
            <w:vAlign w:val="bottom"/>
          </w:tcPr>
          <w:p>
            <w:pPr>
              <w:spacing w:after="0"/>
              <w:rPr>
                <w:sz w:val="15"/>
                <w:szCs w:val="15"/>
                <w:color w:val="auto"/>
              </w:rPr>
            </w:pPr>
          </w:p>
        </w:tc>
        <w:tc>
          <w:tcPr>
            <w:tcW w:w="494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20" w:type="dxa"/>
            <w:vAlign w:val="bottom"/>
            <w:tcBorders>
              <w:bottom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49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9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w:t>
            </w: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Interactive Data</w:t>
            </w: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w:t>
            </w:r>
          </w:p>
        </w:tc>
      </w:tr>
      <w:tr>
        <w:trPr>
          <w:trHeight w:val="23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w:t>
            </w:r>
          </w:p>
        </w:tc>
      </w:tr>
      <w:tr>
        <w:trPr>
          <w:trHeight w:val="234"/>
        </w:trPr>
        <w:tc>
          <w:tcPr>
            <w:tcW w:w="1020" w:type="dxa"/>
            <w:vAlign w:val="bottom"/>
          </w:tcPr>
          <w:p>
            <w:pPr>
              <w:spacing w:after="0"/>
              <w:rPr>
                <w:sz w:val="20"/>
                <w:szCs w:val="20"/>
                <w:color w:val="auto"/>
              </w:rPr>
            </w:pP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document in Exhibit 101)</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tbl>
      <w:tblPr>
        <w:tblLayout w:type="fixed"/>
        <w:tblInd w:w="174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Five Star Bancorp</w:t>
            </w:r>
          </w:p>
        </w:tc>
      </w:tr>
      <w:tr>
        <w:trPr>
          <w:trHeight w:val="270"/>
        </w:trPr>
        <w:tc>
          <w:tcPr>
            <w:tcW w:w="34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47"/>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November 5, 2026</w:t>
            </w:r>
          </w:p>
        </w:tc>
        <w:tc>
          <w:tcPr>
            <w:tcW w:w="1880" w:type="dxa"/>
            <w:vAlign w:val="bottom"/>
          </w:tcPr>
          <w:p>
            <w:pPr>
              <w:spacing w:after="0"/>
              <w:rPr>
                <w:sz w:val="24"/>
                <w:szCs w:val="24"/>
                <w:color w:val="auto"/>
              </w:rPr>
            </w:pPr>
          </w:p>
        </w:tc>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James E. Beckwith</w:t>
            </w:r>
          </w:p>
        </w:tc>
      </w:tr>
      <w:tr>
        <w:trPr>
          <w:trHeight w:val="257"/>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E. Beckwith</w:t>
            </w:r>
          </w:p>
        </w:tc>
      </w:tr>
      <w:tr>
        <w:trPr>
          <w:trHeight w:val="270"/>
        </w:trPr>
        <w:tc>
          <w:tcPr>
            <w:tcW w:w="34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&amp;</w:t>
            </w:r>
          </w:p>
        </w:tc>
      </w:tr>
      <w:tr>
        <w:trPr>
          <w:trHeight w:val="270"/>
        </w:trPr>
        <w:tc>
          <w:tcPr>
            <w:tcW w:w="34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70"/>
        </w:trPr>
        <w:tc>
          <w:tcPr>
            <w:tcW w:w="34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47"/>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November 5, 2026</w:t>
            </w:r>
          </w:p>
        </w:tc>
        <w:tc>
          <w:tcPr>
            <w:tcW w:w="1880" w:type="dxa"/>
            <w:vAlign w:val="bottom"/>
          </w:tcPr>
          <w:p>
            <w:pPr>
              <w:spacing w:after="0"/>
              <w:rPr>
                <w:sz w:val="24"/>
                <w:szCs w:val="24"/>
                <w:color w:val="auto"/>
              </w:rPr>
            </w:pPr>
          </w:p>
        </w:tc>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Heather C. Luck</w:t>
            </w:r>
          </w:p>
        </w:tc>
      </w:tr>
      <w:tr>
        <w:trPr>
          <w:trHeight w:val="257"/>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Heather C. Luck</w:t>
            </w:r>
          </w:p>
        </w:tc>
      </w:tr>
      <w:tr>
        <w:trPr>
          <w:trHeight w:val="270"/>
        </w:trPr>
        <w:tc>
          <w:tcPr>
            <w:tcW w:w="34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&amp;</w:t>
            </w:r>
          </w:p>
        </w:tc>
      </w:tr>
      <w:tr>
        <w:trPr>
          <w:trHeight w:val="270"/>
        </w:trPr>
        <w:tc>
          <w:tcPr>
            <w:tcW w:w="34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34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18"/>
        </w:trPr>
        <w:tc>
          <w:tcPr>
            <w:tcW w:w="3480" w:type="dxa"/>
            <w:vAlign w:val="bottom"/>
          </w:tcPr>
          <w:p>
            <w:pPr>
              <w:spacing w:after="0"/>
              <w:rPr>
                <w:sz w:val="24"/>
                <w:szCs w:val="24"/>
                <w:color w:val="auto"/>
              </w:rPr>
            </w:pPr>
          </w:p>
        </w:tc>
        <w:tc>
          <w:tcPr>
            <w:tcW w:w="188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76</w:t>
            </w:r>
          </w:p>
        </w:tc>
        <w:tc>
          <w:tcPr>
            <w:tcW w:w="4140" w:type="dxa"/>
            <w:vAlign w:val="bottom"/>
          </w:tcPr>
          <w:p>
            <w:pPr>
              <w:spacing w:after="0"/>
              <w:rPr>
                <w:sz w:val="24"/>
                <w:szCs w:val="24"/>
                <w:color w:val="auto"/>
              </w:rPr>
            </w:pPr>
          </w:p>
        </w:tc>
      </w:tr>
    </w:tbl>
    <w:p>
      <w:pPr>
        <w:sectPr>
          <w:pgSz w:w="11900" w:h="16838" w:orient="portrait"/>
          <w:cols w:equalWidth="0" w:num="1">
            <w:col w:w="11240"/>
          </w:cols>
          <w:pgMar w:left="320" w:top="1143"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13a-14(a)/15d-14(a), AS ADOPTED PURSUANT TO SECTION 302 OF THE SARBANES-OXLEY ACT OF 2002</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James E. Beckwith,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Five Star Bancorp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November 5, 2026</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James E. Beckwith</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E. Beckwith</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bl>
    <w:p>
      <w:pPr>
        <w:sectPr>
          <w:pgSz w:w="11900" w:h="16838" w:orient="portrait"/>
          <w:cols w:equalWidth="0" w:num="1">
            <w:col w:w="11240"/>
          </w:cols>
          <w:pgMar w:left="320" w:top="1143"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 13a-14(a)/15d-14(a), AS ADOPTED PURSUANT TO SECTION 302 OF THE SARBANES-OXLEY ACT OF 2002</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Heather C. Luck,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Five Star Bancorp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November 5, 2026</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Heather C. Luck</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Heather C. Luck</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&amp; Chief Financial Officer</w:t>
            </w:r>
          </w:p>
        </w:tc>
      </w:tr>
    </w:tbl>
    <w:p>
      <w:pPr>
        <w:sectPr>
          <w:pgSz w:w="11900" w:h="16838" w:orient="portrait"/>
          <w:cols w:equalWidth="0" w:num="1">
            <w:col w:w="11240"/>
          </w:cols>
          <w:pgMar w:left="320" w:top="1143"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Five Star Bancorp (the “Company”) for the period ended September 30, 2026, as filed with the Securities and Exchange Commission on the date hereof (the “Report”), I, James E. Beckwith, President &amp; Chief Executive Officer of the Company, hereby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November 5, 2026</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James E. Beckwith</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E. Beckwith</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bl>
    <w:p>
      <w:pPr>
        <w:sectPr>
          <w:pgSz w:w="11900" w:h="16838" w:orient="portrait"/>
          <w:cols w:equalWidth="0" w:num="1">
            <w:col w:w="11240"/>
          </w:cols>
          <w:pgMar w:left="320" w:top="927"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Five Star Bancorp (the “Company”) for the period ended September 30, 2026, as filed with the Securities and Exchange Commission on the date hereof (the “Report”), I, Heather C. Luck, Executive Vice President &amp; Chief Financial Officer of the Company, hereby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November 5, 2026</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Heather C. Luck</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Heather C. Luck</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&amp; Chief Financial Officer</w:t>
            </w: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bullet"/>
      <w:start w:val="1"/>
    </w:lvl>
  </w:abstractNum>
  <w:abstractNum w:abstractNumId="6">
    <w:nsid w:val="109CF92E"/>
    <w:multiLevelType w:val="hybridMultilevel"/>
    <w:lvl w:ilvl="0">
      <w:lvlJc w:val="left"/>
      <w:lvlText w:val="2"/>
      <w:numFmt w:val="bullet"/>
      <w:start w:val="1"/>
    </w:lvl>
  </w:abstractNum>
  <w:abstractNum w:abstractNumId="7">
    <w:nsid w:val="DED7263"/>
    <w:multiLevelType w:val="hybridMultilevel"/>
    <w:lvl w:ilvl="0">
      <w:lvlJc w:val="left"/>
      <w:lvlText w:val="1"/>
      <w:numFmt w:val="bullet"/>
      <w:start w:val="1"/>
    </w:lvl>
  </w:abstractNum>
  <w:abstractNum w:abstractNumId="8">
    <w:nsid w:val="7FDCC233"/>
    <w:multiLevelType w:val="hybridMultilevel"/>
    <w:lvl w:ilvl="0">
      <w:lvlJc w:val="left"/>
      <w:lvlText w:val="2"/>
      <w:numFmt w:val="bullet"/>
      <w:start w:val="1"/>
    </w:lvl>
  </w:abstractNum>
  <w:abstractNum w:abstractNumId="9">
    <w:nsid w:val="1BEFD79F"/>
    <w:multiLevelType w:val="hybridMultilevel"/>
    <w:lvl w:ilvl="0">
      <w:lvlJc w:val="left"/>
      <w:lvlText w:val="3"/>
      <w:numFmt w:val="bullet"/>
      <w:start w:val="1"/>
    </w:lvl>
  </w:abstractNum>
  <w:abstractNum w:abstractNumId="10">
    <w:nsid w:val="41A7C4C9"/>
    <w:multiLevelType w:val="hybridMultilevel"/>
    <w:lvl w:ilvl="0">
      <w:lvlJc w:val="left"/>
      <w:lvlText w:val="1"/>
      <w:numFmt w:val="bullet"/>
      <w:start w:val="1"/>
    </w:lvl>
  </w:abstractNum>
  <w:abstractNum w:abstractNumId="11">
    <w:nsid w:val="6B68079A"/>
    <w:multiLevelType w:val="hybridMultilevel"/>
    <w:lvl w:ilvl="0">
      <w:lvlJc w:val="left"/>
      <w:lvlText w:val="2"/>
      <w:numFmt w:val="bullet"/>
      <w:start w:val="1"/>
    </w:lvl>
  </w:abstractNum>
  <w:abstractNum w:abstractNumId="12">
    <w:nsid w:val="4E6AFB66"/>
    <w:multiLevelType w:val="hybridMultilevel"/>
    <w:lvl w:ilvl="0">
      <w:lvlJc w:val="left"/>
      <w:lvlText w:val="3"/>
      <w:numFmt w:val="bullet"/>
      <w:start w:val="1"/>
    </w:lvl>
  </w:abstractNum>
  <w:abstractNum w:abstractNumId="13">
    <w:nsid w:val="25E45D32"/>
    <w:multiLevelType w:val="hybridMultilevel"/>
    <w:lvl w:ilvl="0">
      <w:lvlJc w:val="left"/>
      <w:lvlText w:val="1"/>
      <w:numFmt w:val="bullet"/>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3"/>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2026-11-05T12:55:19Z</dcterms:created>
  <dcterms:modified xsi:type="dcterms:W3CDTF">2026-11-05T12:55:19Z</dcterms:modified>
</cp:coreProperties>
</file>